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6C8" w:rsidRDefault="005E0391" w:rsidP="005D06C8">
      <w:pPr>
        <w:pStyle w:val="Outlinetitle"/>
        <w:spacing w:after="0"/>
        <w:jc w:val="right"/>
        <w:rPr>
          <w:rFonts w:ascii="Arial" w:hAnsi="Arial" w:cs="Arial"/>
          <w:sz w:val="28"/>
          <w:szCs w:val="28"/>
        </w:rPr>
      </w:pPr>
      <w:r>
        <w:rPr>
          <w:rFonts w:ascii="Arial" w:hAnsi="Arial" w:cs="Arial"/>
          <w:noProof/>
          <w:sz w:val="28"/>
          <w:szCs w:val="28"/>
          <w:lang w:val="en-GB" w:eastAsia="en-GB"/>
        </w:rPr>
        <w:drawing>
          <wp:inline distT="0" distB="0" distL="0" distR="0">
            <wp:extent cx="1724698" cy="737265"/>
            <wp:effectExtent l="0" t="0" r="889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VH Trust RGB BLUE - Cop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27094" cy="738289"/>
                    </a:xfrm>
                    <a:prstGeom prst="rect">
                      <a:avLst/>
                    </a:prstGeom>
                  </pic:spPr>
                </pic:pic>
              </a:graphicData>
            </a:graphic>
          </wp:inline>
        </w:drawing>
      </w:r>
    </w:p>
    <w:p w:rsidR="005D06C8" w:rsidRDefault="005D06C8" w:rsidP="00196D25">
      <w:pPr>
        <w:pStyle w:val="Outlinetitle"/>
        <w:spacing w:after="0"/>
        <w:rPr>
          <w:rFonts w:ascii="Arial" w:hAnsi="Arial" w:cs="Arial"/>
          <w:sz w:val="28"/>
          <w:szCs w:val="28"/>
        </w:rPr>
      </w:pPr>
    </w:p>
    <w:p w:rsidR="009B0D7A" w:rsidRPr="00797064" w:rsidRDefault="005D06C8" w:rsidP="00196D25">
      <w:pPr>
        <w:pStyle w:val="Outlinetitle"/>
        <w:spacing w:after="0"/>
        <w:rPr>
          <w:rFonts w:ascii="Arial" w:hAnsi="Arial" w:cs="Arial"/>
          <w:sz w:val="32"/>
          <w:szCs w:val="32"/>
        </w:rPr>
      </w:pPr>
      <w:r w:rsidRPr="00797064">
        <w:rPr>
          <w:rFonts w:ascii="Arial" w:hAnsi="Arial" w:cs="Arial"/>
          <w:sz w:val="32"/>
          <w:szCs w:val="32"/>
        </w:rPr>
        <w:t>Gender Pay Gap Report</w:t>
      </w:r>
      <w:r w:rsidR="00FA1E34" w:rsidRPr="00797064">
        <w:rPr>
          <w:rFonts w:ascii="Arial" w:hAnsi="Arial" w:cs="Arial"/>
          <w:sz w:val="32"/>
          <w:szCs w:val="32"/>
        </w:rPr>
        <w:t xml:space="preserve"> </w:t>
      </w:r>
      <w:r w:rsidR="00B93A0D">
        <w:rPr>
          <w:rFonts w:ascii="Arial" w:hAnsi="Arial" w:cs="Arial"/>
          <w:sz w:val="32"/>
          <w:szCs w:val="32"/>
        </w:rPr>
        <w:t>2018</w:t>
      </w:r>
    </w:p>
    <w:p w:rsidR="00454375" w:rsidRDefault="00454375" w:rsidP="00196D25">
      <w:pPr>
        <w:pStyle w:val="Outlinetitle"/>
        <w:spacing w:after="0"/>
        <w:rPr>
          <w:rFonts w:ascii="Arial" w:hAnsi="Arial" w:cs="Arial"/>
          <w:sz w:val="28"/>
          <w:szCs w:val="28"/>
        </w:rPr>
      </w:pPr>
    </w:p>
    <w:p w:rsidR="00B90A15" w:rsidRPr="00D83445" w:rsidRDefault="00B90A15" w:rsidP="00B90A15">
      <w:pPr>
        <w:pStyle w:val="Default"/>
        <w:numPr>
          <w:ilvl w:val="0"/>
          <w:numId w:val="18"/>
        </w:numPr>
        <w:ind w:left="426"/>
        <w:rPr>
          <w:sz w:val="28"/>
          <w:szCs w:val="28"/>
        </w:rPr>
      </w:pPr>
      <w:r w:rsidRPr="00D83445">
        <w:rPr>
          <w:b/>
          <w:bCs/>
          <w:sz w:val="28"/>
          <w:szCs w:val="28"/>
        </w:rPr>
        <w:t xml:space="preserve">What is the gender pay gap report? </w:t>
      </w:r>
    </w:p>
    <w:p w:rsidR="00B90A15" w:rsidRPr="00495173" w:rsidRDefault="00B90A15" w:rsidP="00B90A15">
      <w:pPr>
        <w:pStyle w:val="Default"/>
      </w:pPr>
    </w:p>
    <w:p w:rsidR="00B90A15" w:rsidRPr="00495173" w:rsidRDefault="00B90A15" w:rsidP="00B90A15">
      <w:pPr>
        <w:pStyle w:val="Default"/>
      </w:pPr>
      <w:r w:rsidRPr="00495173">
        <w:t xml:space="preserve">Gender pay reporting legislation requires employers with 250 or more employees to publish statutory calculations every year showing how large the pay gap is between their male and female employees. There are two sets of regulations. The set of regulations that apply to Queen Victoria Hospital </w:t>
      </w:r>
      <w:r w:rsidR="005010BF" w:rsidRPr="00495173">
        <w:t>NHS</w:t>
      </w:r>
      <w:r w:rsidRPr="00495173">
        <w:t xml:space="preserve"> Foundation Trust (‘QVH’) are those determined for the public sector, where a snapshot of pay is taken with effect from 31 March </w:t>
      </w:r>
      <w:r w:rsidR="00B93A0D" w:rsidRPr="00495173">
        <w:t xml:space="preserve">of a given year </w:t>
      </w:r>
      <w:r w:rsidRPr="00495173">
        <w:t xml:space="preserve">and </w:t>
      </w:r>
      <w:r w:rsidR="00E81100" w:rsidRPr="00495173">
        <w:t xml:space="preserve">data </w:t>
      </w:r>
      <w:r w:rsidRPr="00495173">
        <w:t xml:space="preserve">presented in line with 6 key indicators.  </w:t>
      </w:r>
    </w:p>
    <w:p w:rsidR="00B90A15" w:rsidRPr="00495173" w:rsidRDefault="00B90A15" w:rsidP="00B90A15">
      <w:pPr>
        <w:pStyle w:val="Default"/>
      </w:pPr>
    </w:p>
    <w:p w:rsidR="00F410DB" w:rsidRPr="00495173" w:rsidRDefault="00B90A15" w:rsidP="00F410DB">
      <w:pPr>
        <w:pStyle w:val="Default"/>
      </w:pPr>
      <w:r w:rsidRPr="00495173">
        <w:t xml:space="preserve">Gender pay reporting </w:t>
      </w:r>
      <w:r w:rsidR="00E81100" w:rsidRPr="00495173">
        <w:t xml:space="preserve">presents data on the difference between men and women’s average pay within an organisation.  It is important to highlight the distinction between this and equal pay reporting, which </w:t>
      </w:r>
      <w:r w:rsidR="00F410DB" w:rsidRPr="00495173">
        <w:t xml:space="preserve">is </w:t>
      </w:r>
      <w:r w:rsidR="002809DD" w:rsidRPr="00495173">
        <w:t xml:space="preserve">instead </w:t>
      </w:r>
      <w:r w:rsidR="00F410DB" w:rsidRPr="00495173">
        <w:t>concerned with men and women</w:t>
      </w:r>
      <w:r w:rsidR="00E81100" w:rsidRPr="00495173">
        <w:t xml:space="preserve"> earning equal pay for the same</w:t>
      </w:r>
      <w:r w:rsidR="00F410DB" w:rsidRPr="00495173">
        <w:t xml:space="preserve"> </w:t>
      </w:r>
      <w:r w:rsidR="00E81100" w:rsidRPr="00495173">
        <w:t>(</w:t>
      </w:r>
      <w:r w:rsidR="00F410DB" w:rsidRPr="00495173">
        <w:t>or</w:t>
      </w:r>
      <w:r w:rsidR="00E81100" w:rsidRPr="00495173">
        <w:t xml:space="preserve"> equivalent)</w:t>
      </w:r>
      <w:r w:rsidR="00F410DB" w:rsidRPr="00495173">
        <w:t xml:space="preserve"> work. </w:t>
      </w:r>
      <w:r w:rsidR="002809DD" w:rsidRPr="00495173">
        <w:t xml:space="preserve"> A</w:t>
      </w:r>
      <w:r w:rsidR="00F410DB" w:rsidRPr="00495173">
        <w:t>cross the country, average pay of women is lower than that of men and this tends to be because there are fewer women in senior high earning positions in organisations than men. Whilst a workforce may be predominantly female</w:t>
      </w:r>
      <w:r w:rsidR="002809DD" w:rsidRPr="00495173">
        <w:t xml:space="preserve">, </w:t>
      </w:r>
      <w:r w:rsidR="00F410DB" w:rsidRPr="00495173">
        <w:t>if the most senior positions are taken up by men, the average pay of women in that organisation could well be lower. The Regulations have been brought in to highlight this imbalance, the aim being to enable employers to consider the reasons for any inequality within their organisation and to take steps to address it.</w:t>
      </w:r>
      <w:r w:rsidR="00F73E43" w:rsidRPr="00495173">
        <w:rPr>
          <w:rStyle w:val="FootnoteReference"/>
        </w:rPr>
        <w:footnoteReference w:id="1"/>
      </w:r>
    </w:p>
    <w:p w:rsidR="00B90A15" w:rsidRDefault="00B90A15" w:rsidP="00B90A15">
      <w:pPr>
        <w:pStyle w:val="Default"/>
        <w:rPr>
          <w:b/>
          <w:bCs/>
          <w:sz w:val="22"/>
          <w:szCs w:val="22"/>
        </w:rPr>
      </w:pPr>
    </w:p>
    <w:p w:rsidR="00B90A15" w:rsidRPr="00D83445" w:rsidRDefault="00B90A15" w:rsidP="00B90A15">
      <w:pPr>
        <w:pStyle w:val="Default"/>
        <w:numPr>
          <w:ilvl w:val="0"/>
          <w:numId w:val="18"/>
        </w:numPr>
        <w:ind w:left="426"/>
        <w:rPr>
          <w:b/>
          <w:bCs/>
          <w:sz w:val="28"/>
          <w:szCs w:val="28"/>
        </w:rPr>
      </w:pPr>
      <w:r w:rsidRPr="00D83445">
        <w:rPr>
          <w:b/>
          <w:bCs/>
          <w:sz w:val="28"/>
          <w:szCs w:val="28"/>
        </w:rPr>
        <w:t xml:space="preserve">The gender pay gap indicators </w:t>
      </w:r>
    </w:p>
    <w:p w:rsidR="00B90A15" w:rsidRDefault="00B90A15" w:rsidP="00B90A15">
      <w:pPr>
        <w:pStyle w:val="Default"/>
        <w:rPr>
          <w:sz w:val="22"/>
          <w:szCs w:val="22"/>
        </w:rPr>
      </w:pPr>
    </w:p>
    <w:p w:rsidR="00B90A15" w:rsidRPr="00495173" w:rsidRDefault="00B90A15" w:rsidP="00B90A15">
      <w:pPr>
        <w:pStyle w:val="Default"/>
      </w:pPr>
      <w:r w:rsidRPr="00495173">
        <w:t xml:space="preserve">An employer must publish six calculations showing their: </w:t>
      </w:r>
    </w:p>
    <w:p w:rsidR="00B90A15" w:rsidRPr="00495173" w:rsidRDefault="00B90A15" w:rsidP="00B90A15">
      <w:pPr>
        <w:pStyle w:val="Default"/>
        <w:numPr>
          <w:ilvl w:val="0"/>
          <w:numId w:val="19"/>
        </w:numPr>
        <w:spacing w:after="30"/>
      </w:pPr>
      <w:r w:rsidRPr="00495173">
        <w:t xml:space="preserve">Average gender pay gap as a mean average </w:t>
      </w:r>
    </w:p>
    <w:p w:rsidR="00B90A15" w:rsidRPr="00495173" w:rsidRDefault="00B90A15" w:rsidP="00B90A15">
      <w:pPr>
        <w:pStyle w:val="Default"/>
        <w:numPr>
          <w:ilvl w:val="0"/>
          <w:numId w:val="19"/>
        </w:numPr>
        <w:spacing w:after="30"/>
      </w:pPr>
      <w:r w:rsidRPr="00495173">
        <w:t xml:space="preserve">Average gender pay gap as a median average </w:t>
      </w:r>
    </w:p>
    <w:p w:rsidR="00846A9E" w:rsidRPr="00495173" w:rsidRDefault="00846A9E" w:rsidP="00846A9E">
      <w:pPr>
        <w:pStyle w:val="Default"/>
        <w:numPr>
          <w:ilvl w:val="0"/>
          <w:numId w:val="19"/>
        </w:numPr>
      </w:pPr>
      <w:r w:rsidRPr="00495173">
        <w:t xml:space="preserve">Proportion of males and females when divided into four groups ordered from lowest to highest pay. </w:t>
      </w:r>
    </w:p>
    <w:p w:rsidR="00B90A15" w:rsidRPr="00495173" w:rsidRDefault="00B90A15" w:rsidP="00B90A15">
      <w:pPr>
        <w:pStyle w:val="Default"/>
        <w:numPr>
          <w:ilvl w:val="0"/>
          <w:numId w:val="19"/>
        </w:numPr>
        <w:spacing w:after="30"/>
      </w:pPr>
      <w:r w:rsidRPr="00495173">
        <w:t xml:space="preserve">Average bonus gender pay gap as a mean average </w:t>
      </w:r>
    </w:p>
    <w:p w:rsidR="00B90A15" w:rsidRPr="00495173" w:rsidRDefault="00B90A15" w:rsidP="00B90A15">
      <w:pPr>
        <w:pStyle w:val="Default"/>
        <w:numPr>
          <w:ilvl w:val="0"/>
          <w:numId w:val="19"/>
        </w:numPr>
        <w:spacing w:after="30"/>
      </w:pPr>
      <w:r w:rsidRPr="00495173">
        <w:t xml:space="preserve">Average bonus gender pay gap as a median average </w:t>
      </w:r>
    </w:p>
    <w:p w:rsidR="00B90A15" w:rsidRPr="00495173" w:rsidRDefault="00B90A15" w:rsidP="00B90A15">
      <w:pPr>
        <w:pStyle w:val="Default"/>
        <w:numPr>
          <w:ilvl w:val="0"/>
          <w:numId w:val="19"/>
        </w:numPr>
        <w:spacing w:after="30"/>
      </w:pPr>
      <w:r w:rsidRPr="00495173">
        <w:t xml:space="preserve">Proportion of males receiving a bonus payment and proportion of females receiving a bonus payment </w:t>
      </w:r>
    </w:p>
    <w:p w:rsidR="000E2F49" w:rsidRPr="00495173" w:rsidRDefault="000E2F49" w:rsidP="000E2F49">
      <w:pPr>
        <w:pStyle w:val="Default"/>
      </w:pPr>
    </w:p>
    <w:p w:rsidR="002809DD" w:rsidRPr="00D83445" w:rsidRDefault="002809DD" w:rsidP="002809DD">
      <w:pPr>
        <w:pStyle w:val="Default"/>
        <w:numPr>
          <w:ilvl w:val="0"/>
          <w:numId w:val="18"/>
        </w:numPr>
        <w:ind w:left="426"/>
        <w:rPr>
          <w:b/>
          <w:bCs/>
          <w:sz w:val="28"/>
          <w:szCs w:val="28"/>
        </w:rPr>
      </w:pPr>
      <w:r w:rsidRPr="00D83445">
        <w:rPr>
          <w:b/>
          <w:bCs/>
          <w:sz w:val="28"/>
          <w:szCs w:val="28"/>
        </w:rPr>
        <w:t xml:space="preserve">Methodology </w:t>
      </w:r>
    </w:p>
    <w:p w:rsidR="002809DD" w:rsidRDefault="002809DD" w:rsidP="002809DD">
      <w:pPr>
        <w:pStyle w:val="Default"/>
        <w:rPr>
          <w:sz w:val="22"/>
          <w:szCs w:val="22"/>
        </w:rPr>
      </w:pPr>
    </w:p>
    <w:p w:rsidR="0098393A" w:rsidRPr="00495173" w:rsidRDefault="002809DD" w:rsidP="0098393A">
      <w:pPr>
        <w:pStyle w:val="Default"/>
      </w:pPr>
      <w:r w:rsidRPr="00495173">
        <w:t xml:space="preserve">The statutory calculations have been undertaken using the national </w:t>
      </w:r>
      <w:r w:rsidR="003130E1" w:rsidRPr="00495173">
        <w:t xml:space="preserve">Electronic Staff Record (ESR) Business Intelligence standard report.  In line with </w:t>
      </w:r>
      <w:r w:rsidR="005010BF" w:rsidRPr="00495173">
        <w:t>NHS</w:t>
      </w:r>
      <w:r w:rsidR="003130E1" w:rsidRPr="00495173">
        <w:t xml:space="preserve"> Employers guidance Clinical Excellence Awards and the approach taken to award them at QVH these have been categorised as bonuses.</w:t>
      </w:r>
      <w:r w:rsidR="0098393A" w:rsidRPr="00495173">
        <w:t xml:space="preserve">  Pay includes: basic pay, full paid leave including annual, sick, maternity, paternity, adoption or parental leave, bonus pay, area and other allowances, shift premium pay, pay for piecework.</w:t>
      </w:r>
    </w:p>
    <w:p w:rsidR="0098393A" w:rsidRPr="00495173" w:rsidRDefault="0098393A" w:rsidP="0098393A">
      <w:pPr>
        <w:pStyle w:val="Default"/>
      </w:pPr>
    </w:p>
    <w:p w:rsidR="005E0391" w:rsidRDefault="005E0391" w:rsidP="0098393A">
      <w:pPr>
        <w:pStyle w:val="Default"/>
      </w:pPr>
    </w:p>
    <w:p w:rsidR="005E0391" w:rsidRDefault="005E0391" w:rsidP="0098393A">
      <w:pPr>
        <w:pStyle w:val="Default"/>
      </w:pPr>
    </w:p>
    <w:p w:rsidR="005E0391" w:rsidRDefault="005E0391" w:rsidP="0098393A">
      <w:pPr>
        <w:pStyle w:val="Default"/>
      </w:pPr>
    </w:p>
    <w:p w:rsidR="002809DD" w:rsidRPr="00495173" w:rsidRDefault="0098393A" w:rsidP="0098393A">
      <w:pPr>
        <w:pStyle w:val="Default"/>
      </w:pPr>
      <w:r w:rsidRPr="00495173">
        <w:t>Pay does not include: overtime pay, expenses (payments made to reimburse expenditure wholly and necessarily incurred in the course of employment, e.g. mileage for use of vehicle), remuneration in lieu of leave, the value of salary sacrifice schemes, benefits in kind (e.g. child care vouchers), redundancy pay and tax credits.</w:t>
      </w:r>
    </w:p>
    <w:p w:rsidR="003130E1" w:rsidRPr="00495173" w:rsidRDefault="003130E1" w:rsidP="003130E1">
      <w:pPr>
        <w:pStyle w:val="Default"/>
      </w:pPr>
    </w:p>
    <w:p w:rsidR="0098393A" w:rsidRPr="00495173" w:rsidRDefault="0098393A" w:rsidP="00F73E43">
      <w:pPr>
        <w:pStyle w:val="Default"/>
        <w:tabs>
          <w:tab w:val="right" w:pos="9638"/>
        </w:tabs>
      </w:pPr>
      <w:r w:rsidRPr="00495173">
        <w:t>Technical guidance on how these indicators are calculated can be found on the ACAS website.</w:t>
      </w:r>
      <w:r w:rsidR="00F73E43" w:rsidRPr="00495173">
        <w:rPr>
          <w:rStyle w:val="FootnoteReference"/>
        </w:rPr>
        <w:footnoteReference w:id="2"/>
      </w:r>
      <w:r w:rsidR="00F73E43" w:rsidRPr="00495173">
        <w:tab/>
      </w:r>
    </w:p>
    <w:p w:rsidR="0098393A" w:rsidRPr="00495173" w:rsidRDefault="0098393A" w:rsidP="0098393A">
      <w:pPr>
        <w:pStyle w:val="Default"/>
      </w:pPr>
    </w:p>
    <w:p w:rsidR="0098393A" w:rsidRDefault="0098393A" w:rsidP="0098393A">
      <w:pPr>
        <w:pStyle w:val="Default"/>
        <w:ind w:left="426"/>
        <w:rPr>
          <w:b/>
          <w:bCs/>
          <w:sz w:val="22"/>
          <w:szCs w:val="22"/>
        </w:rPr>
      </w:pPr>
    </w:p>
    <w:p w:rsidR="003130E1" w:rsidRPr="00D83445" w:rsidRDefault="003130E1" w:rsidP="003130E1">
      <w:pPr>
        <w:pStyle w:val="Default"/>
        <w:numPr>
          <w:ilvl w:val="0"/>
          <w:numId w:val="18"/>
        </w:numPr>
        <w:ind w:left="426"/>
        <w:rPr>
          <w:b/>
          <w:bCs/>
          <w:sz w:val="28"/>
          <w:szCs w:val="28"/>
        </w:rPr>
      </w:pPr>
      <w:r w:rsidRPr="00D83445">
        <w:rPr>
          <w:b/>
          <w:bCs/>
          <w:sz w:val="28"/>
          <w:szCs w:val="28"/>
        </w:rPr>
        <w:t>Statutory reporting analysis</w:t>
      </w:r>
      <w:r w:rsidR="002B30B5" w:rsidRPr="00D83445">
        <w:rPr>
          <w:b/>
          <w:bCs/>
          <w:sz w:val="28"/>
          <w:szCs w:val="28"/>
        </w:rPr>
        <w:t xml:space="preserve"> – QVH details</w:t>
      </w:r>
    </w:p>
    <w:p w:rsidR="003130E1" w:rsidRDefault="003130E1" w:rsidP="003130E1">
      <w:pPr>
        <w:pStyle w:val="Default"/>
        <w:rPr>
          <w:sz w:val="22"/>
          <w:szCs w:val="22"/>
        </w:rPr>
      </w:pPr>
    </w:p>
    <w:p w:rsidR="00CB40B2" w:rsidRPr="00495173" w:rsidRDefault="003130E1" w:rsidP="003130E1">
      <w:pPr>
        <w:pStyle w:val="Default"/>
      </w:pPr>
      <w:r w:rsidRPr="00495173">
        <w:t xml:space="preserve">The following tables present the data as required by the Equality Act 2010 (Specific Duties and Public Authorities) Regulations 2017 under Schedule 2.  </w:t>
      </w:r>
      <w:r w:rsidR="00755220" w:rsidRPr="00495173">
        <w:t>At 1</w:t>
      </w:r>
      <w:r w:rsidR="00755220" w:rsidRPr="00495173">
        <w:rPr>
          <w:vertAlign w:val="superscript"/>
        </w:rPr>
        <w:t>st</w:t>
      </w:r>
      <w:r w:rsidR="00755220" w:rsidRPr="00495173">
        <w:t xml:space="preserve"> March 2018 QVH employed </w:t>
      </w:r>
      <w:r w:rsidR="00B93A0D" w:rsidRPr="00495173">
        <w:t>827</w:t>
      </w:r>
      <w:r w:rsidR="00755220" w:rsidRPr="00495173">
        <w:t xml:space="preserve"> women (7</w:t>
      </w:r>
      <w:r w:rsidR="00B93A0D" w:rsidRPr="00495173">
        <w:t>6.65</w:t>
      </w:r>
      <w:r w:rsidR="00755220" w:rsidRPr="00495173">
        <w:t>%) and 2</w:t>
      </w:r>
      <w:r w:rsidR="00B93A0D" w:rsidRPr="00495173">
        <w:t>5</w:t>
      </w:r>
      <w:r w:rsidR="00755220" w:rsidRPr="00495173">
        <w:t>2</w:t>
      </w:r>
      <w:r w:rsidR="00B93A0D" w:rsidRPr="00495173">
        <w:t xml:space="preserve"> m</w:t>
      </w:r>
      <w:r w:rsidR="00755220" w:rsidRPr="00495173">
        <w:t>en (2</w:t>
      </w:r>
      <w:r w:rsidR="00B93A0D" w:rsidRPr="00495173">
        <w:t>3.35</w:t>
      </w:r>
      <w:r w:rsidR="00755220" w:rsidRPr="00495173">
        <w:t xml:space="preserve">%).  </w:t>
      </w:r>
      <w:r w:rsidRPr="00495173">
        <w:t>A more detailed and informative analysis can be found in the detailed reporting analysis (Section 5).</w:t>
      </w:r>
      <w:r w:rsidR="00755220" w:rsidRPr="00495173">
        <w:t xml:space="preserve">  </w:t>
      </w:r>
    </w:p>
    <w:p w:rsidR="002B30B5" w:rsidRPr="00495173" w:rsidRDefault="002B30B5" w:rsidP="003130E1">
      <w:pPr>
        <w:pStyle w:val="Default"/>
      </w:pPr>
    </w:p>
    <w:p w:rsidR="007716A9" w:rsidRPr="00D83445" w:rsidRDefault="007716A9" w:rsidP="00EA1825">
      <w:pPr>
        <w:pStyle w:val="Default"/>
        <w:numPr>
          <w:ilvl w:val="1"/>
          <w:numId w:val="18"/>
        </w:numPr>
        <w:ind w:left="709"/>
        <w:rPr>
          <w:b/>
          <w:bCs/>
          <w:i/>
          <w:sz w:val="26"/>
          <w:szCs w:val="26"/>
        </w:rPr>
      </w:pPr>
      <w:r w:rsidRPr="00D83445">
        <w:rPr>
          <w:b/>
          <w:bCs/>
          <w:i/>
          <w:sz w:val="26"/>
          <w:szCs w:val="26"/>
        </w:rPr>
        <w:t>Hourly rate</w:t>
      </w:r>
    </w:p>
    <w:p w:rsidR="007716A9" w:rsidRDefault="007716A9" w:rsidP="007716A9">
      <w:pPr>
        <w:pStyle w:val="Default"/>
        <w:rPr>
          <w:sz w:val="22"/>
          <w:szCs w:val="22"/>
        </w:rPr>
      </w:pPr>
    </w:p>
    <w:tbl>
      <w:tblPr>
        <w:tblW w:w="8600" w:type="dxa"/>
        <w:jc w:val="center"/>
        <w:tblInd w:w="93" w:type="dxa"/>
        <w:tblBorders>
          <w:top w:val="single" w:sz="4" w:space="0" w:color="auto"/>
          <w:left w:val="single" w:sz="4" w:space="0" w:color="auto"/>
          <w:bottom w:val="single" w:sz="4" w:space="0" w:color="auto"/>
          <w:right w:val="single" w:sz="4" w:space="0" w:color="auto"/>
        </w:tblBorders>
        <w:shd w:val="clear" w:color="auto" w:fill="EAF1DD" w:themeFill="accent3" w:themeFillTint="33"/>
        <w:tblLook w:val="04A0" w:firstRow="1" w:lastRow="0" w:firstColumn="1" w:lastColumn="0" w:noHBand="0" w:noVBand="1"/>
      </w:tblPr>
      <w:tblGrid>
        <w:gridCol w:w="4177"/>
        <w:gridCol w:w="4423"/>
      </w:tblGrid>
      <w:tr w:rsidR="007716A9" w:rsidRPr="007716A9" w:rsidTr="00B135E6">
        <w:trPr>
          <w:trHeight w:val="288"/>
          <w:jc w:val="center"/>
        </w:trPr>
        <w:tc>
          <w:tcPr>
            <w:tcW w:w="8600" w:type="dxa"/>
            <w:gridSpan w:val="2"/>
            <w:shd w:val="clear" w:color="auto" w:fill="EAF1DD" w:themeFill="accent3" w:themeFillTint="33"/>
            <w:noWrap/>
            <w:vAlign w:val="center"/>
            <w:hideMark/>
          </w:tcPr>
          <w:p w:rsidR="007716A9" w:rsidRPr="007716A9" w:rsidRDefault="007716A9" w:rsidP="007716A9">
            <w:pPr>
              <w:spacing w:after="0" w:line="240" w:lineRule="auto"/>
              <w:jc w:val="center"/>
              <w:rPr>
                <w:rFonts w:ascii="Arial" w:eastAsia="Times New Roman" w:hAnsi="Arial" w:cs="Arial"/>
                <w:b/>
                <w:bCs/>
                <w:color w:val="000000"/>
                <w:u w:val="single"/>
                <w:lang w:eastAsia="en-GB"/>
              </w:rPr>
            </w:pPr>
            <w:r w:rsidRPr="007716A9">
              <w:rPr>
                <w:rFonts w:ascii="Arial" w:eastAsia="Times New Roman" w:hAnsi="Arial" w:cs="Arial"/>
                <w:b/>
                <w:bCs/>
                <w:color w:val="000000"/>
                <w:u w:val="single"/>
                <w:lang w:eastAsia="en-GB"/>
              </w:rPr>
              <w:t>Women’s hourly rate is:</w:t>
            </w:r>
          </w:p>
        </w:tc>
      </w:tr>
      <w:tr w:rsidR="007716A9" w:rsidRPr="007716A9" w:rsidTr="00B135E6">
        <w:trPr>
          <w:trHeight w:val="288"/>
          <w:jc w:val="center"/>
        </w:trPr>
        <w:tc>
          <w:tcPr>
            <w:tcW w:w="4177" w:type="dxa"/>
            <w:shd w:val="clear" w:color="auto" w:fill="EAF1DD" w:themeFill="accent3" w:themeFillTint="33"/>
            <w:noWrap/>
            <w:vAlign w:val="bottom"/>
            <w:hideMark/>
          </w:tcPr>
          <w:p w:rsidR="007716A9" w:rsidRPr="007716A9" w:rsidRDefault="007716A9" w:rsidP="007716A9">
            <w:pPr>
              <w:spacing w:after="0" w:line="240" w:lineRule="auto"/>
              <w:rPr>
                <w:rFonts w:ascii="Calibri" w:eastAsia="Times New Roman" w:hAnsi="Calibri" w:cs="Times New Roman"/>
                <w:color w:val="000000"/>
                <w:lang w:eastAsia="en-GB"/>
              </w:rPr>
            </w:pPr>
          </w:p>
        </w:tc>
        <w:tc>
          <w:tcPr>
            <w:tcW w:w="4423" w:type="dxa"/>
            <w:shd w:val="clear" w:color="auto" w:fill="EAF1DD" w:themeFill="accent3" w:themeFillTint="33"/>
            <w:noWrap/>
            <w:vAlign w:val="bottom"/>
            <w:hideMark/>
          </w:tcPr>
          <w:p w:rsidR="007716A9" w:rsidRPr="007716A9" w:rsidRDefault="007716A9" w:rsidP="007716A9">
            <w:pPr>
              <w:spacing w:after="0" w:line="240" w:lineRule="auto"/>
              <w:rPr>
                <w:rFonts w:ascii="Calibri" w:eastAsia="Times New Roman" w:hAnsi="Calibri" w:cs="Times New Roman"/>
                <w:color w:val="000000"/>
                <w:lang w:eastAsia="en-GB"/>
              </w:rPr>
            </w:pPr>
          </w:p>
        </w:tc>
      </w:tr>
      <w:tr w:rsidR="007716A9" w:rsidRPr="007716A9" w:rsidTr="00B135E6">
        <w:trPr>
          <w:trHeight w:val="420"/>
          <w:jc w:val="center"/>
        </w:trPr>
        <w:tc>
          <w:tcPr>
            <w:tcW w:w="4177" w:type="dxa"/>
            <w:shd w:val="clear" w:color="auto" w:fill="EAF1DD" w:themeFill="accent3" w:themeFillTint="33"/>
            <w:noWrap/>
            <w:vAlign w:val="center"/>
            <w:hideMark/>
          </w:tcPr>
          <w:p w:rsidR="007716A9" w:rsidRPr="007716A9" w:rsidRDefault="00B93A0D" w:rsidP="007716A9">
            <w:pPr>
              <w:spacing w:after="0" w:line="240" w:lineRule="auto"/>
              <w:jc w:val="center"/>
              <w:rPr>
                <w:rFonts w:ascii="Arial" w:eastAsia="Times New Roman" w:hAnsi="Arial" w:cs="Arial"/>
                <w:b/>
                <w:bCs/>
                <w:color w:val="000000"/>
                <w:sz w:val="32"/>
                <w:szCs w:val="32"/>
                <w:lang w:eastAsia="en-GB"/>
              </w:rPr>
            </w:pPr>
            <w:r>
              <w:rPr>
                <w:rFonts w:ascii="Arial" w:eastAsia="Times New Roman" w:hAnsi="Arial" w:cs="Arial"/>
                <w:b/>
                <w:bCs/>
                <w:color w:val="000000"/>
                <w:sz w:val="32"/>
                <w:szCs w:val="32"/>
                <w:lang w:eastAsia="en-GB"/>
              </w:rPr>
              <w:t>35.9</w:t>
            </w:r>
            <w:r w:rsidR="007716A9" w:rsidRPr="007716A9">
              <w:rPr>
                <w:rFonts w:ascii="Arial" w:eastAsia="Times New Roman" w:hAnsi="Arial" w:cs="Arial"/>
                <w:b/>
                <w:bCs/>
                <w:color w:val="000000"/>
                <w:sz w:val="32"/>
                <w:szCs w:val="32"/>
                <w:lang w:eastAsia="en-GB"/>
              </w:rPr>
              <w:t>%</w:t>
            </w:r>
          </w:p>
        </w:tc>
        <w:tc>
          <w:tcPr>
            <w:tcW w:w="4423" w:type="dxa"/>
            <w:shd w:val="clear" w:color="auto" w:fill="EAF1DD" w:themeFill="accent3" w:themeFillTint="33"/>
            <w:noWrap/>
            <w:vAlign w:val="center"/>
            <w:hideMark/>
          </w:tcPr>
          <w:p w:rsidR="007716A9" w:rsidRPr="007716A9" w:rsidRDefault="00B93A0D" w:rsidP="00B93A0D">
            <w:pPr>
              <w:spacing w:after="0" w:line="240" w:lineRule="auto"/>
              <w:jc w:val="center"/>
              <w:rPr>
                <w:rFonts w:ascii="Arial" w:eastAsia="Times New Roman" w:hAnsi="Arial" w:cs="Arial"/>
                <w:b/>
                <w:bCs/>
                <w:color w:val="000000"/>
                <w:sz w:val="32"/>
                <w:szCs w:val="32"/>
                <w:lang w:eastAsia="en-GB"/>
              </w:rPr>
            </w:pPr>
            <w:r>
              <w:rPr>
                <w:rFonts w:ascii="Arial" w:eastAsia="Times New Roman" w:hAnsi="Arial" w:cs="Arial"/>
                <w:b/>
                <w:bCs/>
                <w:color w:val="000000"/>
                <w:sz w:val="32"/>
                <w:szCs w:val="32"/>
                <w:lang w:eastAsia="en-GB"/>
              </w:rPr>
              <w:t>39.9</w:t>
            </w:r>
            <w:r w:rsidR="007716A9" w:rsidRPr="007716A9">
              <w:rPr>
                <w:rFonts w:ascii="Arial" w:eastAsia="Times New Roman" w:hAnsi="Arial" w:cs="Arial"/>
                <w:b/>
                <w:bCs/>
                <w:color w:val="000000"/>
                <w:sz w:val="32"/>
                <w:szCs w:val="32"/>
                <w:lang w:eastAsia="en-GB"/>
              </w:rPr>
              <w:t>%</w:t>
            </w:r>
          </w:p>
        </w:tc>
      </w:tr>
      <w:tr w:rsidR="007716A9" w:rsidRPr="007716A9" w:rsidTr="00B135E6">
        <w:trPr>
          <w:trHeight w:val="288"/>
          <w:jc w:val="center"/>
        </w:trPr>
        <w:tc>
          <w:tcPr>
            <w:tcW w:w="4177" w:type="dxa"/>
            <w:shd w:val="clear" w:color="auto" w:fill="EAF1DD" w:themeFill="accent3" w:themeFillTint="33"/>
            <w:noWrap/>
            <w:vAlign w:val="center"/>
            <w:hideMark/>
          </w:tcPr>
          <w:p w:rsidR="007716A9" w:rsidRPr="007716A9" w:rsidRDefault="007716A9" w:rsidP="007716A9">
            <w:pPr>
              <w:spacing w:after="0" w:line="240" w:lineRule="auto"/>
              <w:jc w:val="center"/>
              <w:rPr>
                <w:rFonts w:ascii="Arial" w:eastAsia="Times New Roman" w:hAnsi="Arial" w:cs="Arial"/>
                <w:b/>
                <w:bCs/>
                <w:color w:val="000000"/>
                <w:lang w:eastAsia="en-GB"/>
              </w:rPr>
            </w:pPr>
            <w:r w:rsidRPr="007716A9">
              <w:rPr>
                <w:rFonts w:ascii="Arial" w:eastAsia="Times New Roman" w:hAnsi="Arial" w:cs="Arial"/>
                <w:b/>
                <w:bCs/>
                <w:color w:val="000000"/>
                <w:lang w:eastAsia="en-GB"/>
              </w:rPr>
              <w:t>LOWER</w:t>
            </w:r>
          </w:p>
        </w:tc>
        <w:tc>
          <w:tcPr>
            <w:tcW w:w="4423" w:type="dxa"/>
            <w:shd w:val="clear" w:color="auto" w:fill="EAF1DD" w:themeFill="accent3" w:themeFillTint="33"/>
            <w:noWrap/>
            <w:vAlign w:val="center"/>
            <w:hideMark/>
          </w:tcPr>
          <w:p w:rsidR="007716A9" w:rsidRPr="007716A9" w:rsidRDefault="007716A9" w:rsidP="007716A9">
            <w:pPr>
              <w:spacing w:after="0" w:line="240" w:lineRule="auto"/>
              <w:jc w:val="center"/>
              <w:rPr>
                <w:rFonts w:ascii="Arial" w:eastAsia="Times New Roman" w:hAnsi="Arial" w:cs="Arial"/>
                <w:b/>
                <w:bCs/>
                <w:color w:val="000000"/>
                <w:lang w:eastAsia="en-GB"/>
              </w:rPr>
            </w:pPr>
            <w:r w:rsidRPr="007716A9">
              <w:rPr>
                <w:rFonts w:ascii="Arial" w:eastAsia="Times New Roman" w:hAnsi="Arial" w:cs="Arial"/>
                <w:b/>
                <w:bCs/>
                <w:color w:val="000000"/>
                <w:lang w:eastAsia="en-GB"/>
              </w:rPr>
              <w:t>LOWER</w:t>
            </w:r>
          </w:p>
        </w:tc>
      </w:tr>
      <w:tr w:rsidR="007716A9" w:rsidRPr="007716A9" w:rsidTr="00B135E6">
        <w:trPr>
          <w:trHeight w:val="288"/>
          <w:jc w:val="center"/>
        </w:trPr>
        <w:tc>
          <w:tcPr>
            <w:tcW w:w="4177" w:type="dxa"/>
            <w:shd w:val="clear" w:color="auto" w:fill="EAF1DD" w:themeFill="accent3" w:themeFillTint="33"/>
            <w:noWrap/>
            <w:vAlign w:val="center"/>
            <w:hideMark/>
          </w:tcPr>
          <w:p w:rsidR="007716A9" w:rsidRPr="007716A9" w:rsidRDefault="007716A9" w:rsidP="007716A9">
            <w:pPr>
              <w:spacing w:after="0" w:line="240" w:lineRule="auto"/>
              <w:jc w:val="center"/>
              <w:rPr>
                <w:rFonts w:ascii="Arial" w:eastAsia="Times New Roman" w:hAnsi="Arial" w:cs="Arial"/>
                <w:color w:val="000000"/>
                <w:lang w:eastAsia="en-GB"/>
              </w:rPr>
            </w:pPr>
            <w:r w:rsidRPr="007716A9">
              <w:rPr>
                <w:rFonts w:ascii="Arial" w:eastAsia="Times New Roman" w:hAnsi="Arial" w:cs="Arial"/>
                <w:color w:val="000000"/>
                <w:lang w:eastAsia="en-GB"/>
              </w:rPr>
              <w:t>(mean)</w:t>
            </w:r>
          </w:p>
        </w:tc>
        <w:tc>
          <w:tcPr>
            <w:tcW w:w="4423" w:type="dxa"/>
            <w:shd w:val="clear" w:color="auto" w:fill="EAF1DD" w:themeFill="accent3" w:themeFillTint="33"/>
            <w:noWrap/>
            <w:vAlign w:val="center"/>
            <w:hideMark/>
          </w:tcPr>
          <w:p w:rsidR="007716A9" w:rsidRPr="007716A9" w:rsidRDefault="007716A9" w:rsidP="007716A9">
            <w:pPr>
              <w:spacing w:after="0" w:line="240" w:lineRule="auto"/>
              <w:jc w:val="center"/>
              <w:rPr>
                <w:rFonts w:ascii="Arial" w:eastAsia="Times New Roman" w:hAnsi="Arial" w:cs="Arial"/>
                <w:color w:val="000000"/>
                <w:lang w:eastAsia="en-GB"/>
              </w:rPr>
            </w:pPr>
            <w:r w:rsidRPr="007716A9">
              <w:rPr>
                <w:rFonts w:ascii="Arial" w:eastAsia="Times New Roman" w:hAnsi="Arial" w:cs="Arial"/>
                <w:color w:val="000000"/>
                <w:lang w:eastAsia="en-GB"/>
              </w:rPr>
              <w:t>(median)</w:t>
            </w:r>
          </w:p>
        </w:tc>
      </w:tr>
    </w:tbl>
    <w:p w:rsidR="007716A9" w:rsidRDefault="007716A9" w:rsidP="003130E1">
      <w:pPr>
        <w:pStyle w:val="Default"/>
        <w:rPr>
          <w:sz w:val="22"/>
          <w:szCs w:val="22"/>
        </w:rPr>
      </w:pPr>
    </w:p>
    <w:p w:rsidR="002B30B5" w:rsidRDefault="002B30B5" w:rsidP="00EA1825">
      <w:pPr>
        <w:pStyle w:val="Default"/>
        <w:numPr>
          <w:ilvl w:val="1"/>
          <w:numId w:val="18"/>
        </w:numPr>
        <w:ind w:left="709"/>
        <w:rPr>
          <w:b/>
          <w:bCs/>
          <w:i/>
          <w:sz w:val="26"/>
          <w:szCs w:val="26"/>
        </w:rPr>
      </w:pPr>
      <w:r w:rsidRPr="00D83445">
        <w:rPr>
          <w:b/>
          <w:bCs/>
          <w:i/>
          <w:sz w:val="26"/>
          <w:szCs w:val="26"/>
        </w:rPr>
        <w:t>Pay quartiles</w:t>
      </w:r>
    </w:p>
    <w:p w:rsidR="00D83445" w:rsidRPr="00A031F1" w:rsidRDefault="00D83445" w:rsidP="00A031F1">
      <w:pPr>
        <w:pStyle w:val="Default"/>
        <w:rPr>
          <w:sz w:val="22"/>
          <w:szCs w:val="22"/>
        </w:rPr>
      </w:pPr>
    </w:p>
    <w:tbl>
      <w:tblPr>
        <w:tblW w:w="8600" w:type="dxa"/>
        <w:jc w:val="center"/>
        <w:tblInd w:w="93" w:type="dxa"/>
        <w:tblBorders>
          <w:top w:val="single" w:sz="4" w:space="0" w:color="auto"/>
          <w:left w:val="single" w:sz="4" w:space="0" w:color="auto"/>
          <w:bottom w:val="single" w:sz="4" w:space="0" w:color="auto"/>
          <w:right w:val="single" w:sz="4" w:space="0" w:color="auto"/>
        </w:tblBorders>
        <w:shd w:val="clear" w:color="auto" w:fill="EAF1DD" w:themeFill="accent3" w:themeFillTint="33"/>
        <w:tblLook w:val="04A0" w:firstRow="1" w:lastRow="0" w:firstColumn="1" w:lastColumn="0" w:noHBand="0" w:noVBand="1"/>
      </w:tblPr>
      <w:tblGrid>
        <w:gridCol w:w="3678"/>
        <w:gridCol w:w="4922"/>
      </w:tblGrid>
      <w:tr w:rsidR="00EA1825" w:rsidRPr="00EA1825" w:rsidTr="00B135E6">
        <w:trPr>
          <w:trHeight w:val="288"/>
          <w:jc w:val="center"/>
        </w:trPr>
        <w:tc>
          <w:tcPr>
            <w:tcW w:w="8600" w:type="dxa"/>
            <w:gridSpan w:val="2"/>
            <w:shd w:val="clear" w:color="auto" w:fill="EAF1DD" w:themeFill="accent3" w:themeFillTint="33"/>
            <w:noWrap/>
            <w:vAlign w:val="center"/>
            <w:hideMark/>
          </w:tcPr>
          <w:p w:rsidR="00EA1825" w:rsidRDefault="00EA1825" w:rsidP="00EA1825">
            <w:pPr>
              <w:spacing w:after="0" w:line="240" w:lineRule="auto"/>
              <w:jc w:val="center"/>
              <w:rPr>
                <w:rFonts w:ascii="Arial" w:eastAsia="Times New Roman" w:hAnsi="Arial" w:cs="Arial"/>
                <w:b/>
                <w:bCs/>
                <w:color w:val="000000"/>
                <w:lang w:eastAsia="en-GB"/>
              </w:rPr>
            </w:pPr>
          </w:p>
          <w:p w:rsidR="00EA1825" w:rsidRPr="00EA1825" w:rsidRDefault="00EA1825" w:rsidP="00EA1825">
            <w:pPr>
              <w:spacing w:after="0" w:line="240" w:lineRule="auto"/>
              <w:jc w:val="center"/>
              <w:rPr>
                <w:rFonts w:ascii="Arial" w:eastAsia="Times New Roman" w:hAnsi="Arial" w:cs="Arial"/>
                <w:b/>
                <w:bCs/>
                <w:color w:val="000000"/>
                <w:u w:val="single"/>
                <w:lang w:eastAsia="en-GB"/>
              </w:rPr>
            </w:pPr>
            <w:r w:rsidRPr="00EA1825">
              <w:rPr>
                <w:rFonts w:ascii="Arial" w:eastAsia="Times New Roman" w:hAnsi="Arial" w:cs="Arial"/>
                <w:b/>
                <w:bCs/>
                <w:color w:val="000000"/>
                <w:u w:val="single"/>
                <w:lang w:eastAsia="en-GB"/>
              </w:rPr>
              <w:t>How many men and women are in each quarter of the employer's payroll:</w:t>
            </w:r>
          </w:p>
        </w:tc>
      </w:tr>
      <w:tr w:rsidR="00EA1825" w:rsidRPr="00EA1825" w:rsidTr="00B135E6">
        <w:trPr>
          <w:trHeight w:val="288"/>
          <w:jc w:val="center"/>
        </w:trPr>
        <w:tc>
          <w:tcPr>
            <w:tcW w:w="3678" w:type="dxa"/>
            <w:shd w:val="clear" w:color="auto" w:fill="EAF1DD" w:themeFill="accent3" w:themeFillTint="33"/>
            <w:noWrap/>
            <w:vAlign w:val="bottom"/>
            <w:hideMark/>
          </w:tcPr>
          <w:p w:rsidR="00EA1825" w:rsidRPr="00EA1825" w:rsidRDefault="00EA1825" w:rsidP="00EA1825">
            <w:pPr>
              <w:spacing w:after="0" w:line="240" w:lineRule="auto"/>
              <w:rPr>
                <w:rFonts w:ascii="Calibri" w:eastAsia="Times New Roman" w:hAnsi="Calibri" w:cs="Times New Roman"/>
                <w:color w:val="000000"/>
                <w:lang w:eastAsia="en-GB"/>
              </w:rPr>
            </w:pPr>
          </w:p>
        </w:tc>
        <w:tc>
          <w:tcPr>
            <w:tcW w:w="4922" w:type="dxa"/>
            <w:shd w:val="clear" w:color="auto" w:fill="EAF1DD" w:themeFill="accent3" w:themeFillTint="33"/>
            <w:noWrap/>
            <w:vAlign w:val="bottom"/>
            <w:hideMark/>
          </w:tcPr>
          <w:p w:rsidR="00EA1825" w:rsidRPr="00EA1825" w:rsidRDefault="00EA1825" w:rsidP="00EA1825">
            <w:pPr>
              <w:spacing w:after="0" w:line="240" w:lineRule="auto"/>
              <w:rPr>
                <w:rFonts w:ascii="Calibri" w:eastAsia="Times New Roman" w:hAnsi="Calibri" w:cs="Times New Roman"/>
                <w:color w:val="000000"/>
                <w:lang w:eastAsia="en-GB"/>
              </w:rPr>
            </w:pPr>
          </w:p>
        </w:tc>
      </w:tr>
      <w:tr w:rsidR="00EA1825" w:rsidRPr="00EA1825" w:rsidTr="00B135E6">
        <w:trPr>
          <w:trHeight w:val="288"/>
          <w:jc w:val="center"/>
        </w:trPr>
        <w:tc>
          <w:tcPr>
            <w:tcW w:w="8600" w:type="dxa"/>
            <w:gridSpan w:val="2"/>
            <w:shd w:val="clear" w:color="auto" w:fill="EAF1DD" w:themeFill="accent3" w:themeFillTint="33"/>
            <w:noWrap/>
            <w:vAlign w:val="center"/>
            <w:hideMark/>
          </w:tcPr>
          <w:p w:rsidR="00EA1825" w:rsidRPr="00EA1825" w:rsidRDefault="00EA1825" w:rsidP="00EA1825">
            <w:pPr>
              <w:spacing w:after="0" w:line="240" w:lineRule="auto"/>
              <w:jc w:val="center"/>
              <w:rPr>
                <w:rFonts w:ascii="Arial" w:eastAsia="Times New Roman" w:hAnsi="Arial" w:cs="Arial"/>
                <w:b/>
                <w:bCs/>
                <w:color w:val="000000"/>
                <w:lang w:eastAsia="en-GB"/>
              </w:rPr>
            </w:pPr>
            <w:r w:rsidRPr="00EA1825">
              <w:rPr>
                <w:rFonts w:ascii="Arial" w:eastAsia="Times New Roman" w:hAnsi="Arial" w:cs="Arial"/>
                <w:b/>
                <w:bCs/>
                <w:color w:val="000000"/>
                <w:lang w:eastAsia="en-GB"/>
              </w:rPr>
              <w:t>Top quartile</w:t>
            </w:r>
            <w:r w:rsidR="00755220">
              <w:rPr>
                <w:rFonts w:ascii="Arial" w:eastAsia="Times New Roman" w:hAnsi="Arial" w:cs="Arial"/>
                <w:b/>
                <w:bCs/>
                <w:color w:val="000000"/>
                <w:lang w:eastAsia="en-GB"/>
              </w:rPr>
              <w:t xml:space="preserve"> (4)</w:t>
            </w:r>
          </w:p>
        </w:tc>
      </w:tr>
      <w:tr w:rsidR="00C805E1" w:rsidRPr="00EA1825" w:rsidTr="00B135E6">
        <w:trPr>
          <w:trHeight w:val="420"/>
          <w:jc w:val="center"/>
        </w:trPr>
        <w:tc>
          <w:tcPr>
            <w:tcW w:w="3678" w:type="dxa"/>
            <w:shd w:val="clear" w:color="auto" w:fill="EAF1DD" w:themeFill="accent3" w:themeFillTint="33"/>
            <w:noWrap/>
            <w:vAlign w:val="center"/>
            <w:hideMark/>
          </w:tcPr>
          <w:p w:rsidR="00C805E1" w:rsidRPr="00EA1825" w:rsidRDefault="00AB1F86" w:rsidP="00260513">
            <w:pPr>
              <w:spacing w:after="0" w:line="240" w:lineRule="auto"/>
              <w:jc w:val="center"/>
              <w:rPr>
                <w:rFonts w:ascii="Arial" w:eastAsia="Times New Roman" w:hAnsi="Arial" w:cs="Arial"/>
                <w:b/>
                <w:bCs/>
                <w:color w:val="000000"/>
                <w:sz w:val="32"/>
                <w:szCs w:val="32"/>
                <w:lang w:eastAsia="en-GB"/>
              </w:rPr>
            </w:pPr>
            <w:r>
              <w:rPr>
                <w:rFonts w:ascii="Arial" w:eastAsia="Times New Roman" w:hAnsi="Arial" w:cs="Arial"/>
                <w:b/>
                <w:bCs/>
                <w:color w:val="000000"/>
                <w:sz w:val="32"/>
                <w:szCs w:val="32"/>
                <w:lang w:eastAsia="en-GB"/>
              </w:rPr>
              <w:t>45.2</w:t>
            </w:r>
            <w:r w:rsidR="00C805E1" w:rsidRPr="00EA1825">
              <w:rPr>
                <w:rFonts w:ascii="Arial" w:eastAsia="Times New Roman" w:hAnsi="Arial" w:cs="Arial"/>
                <w:b/>
                <w:bCs/>
                <w:color w:val="000000"/>
                <w:sz w:val="32"/>
                <w:szCs w:val="32"/>
                <w:lang w:eastAsia="en-GB"/>
              </w:rPr>
              <w:t>%</w:t>
            </w:r>
          </w:p>
        </w:tc>
        <w:tc>
          <w:tcPr>
            <w:tcW w:w="4922" w:type="dxa"/>
            <w:shd w:val="clear" w:color="auto" w:fill="EAF1DD" w:themeFill="accent3" w:themeFillTint="33"/>
            <w:noWrap/>
            <w:vAlign w:val="center"/>
            <w:hideMark/>
          </w:tcPr>
          <w:p w:rsidR="00C805E1" w:rsidRPr="00EA1825" w:rsidRDefault="00C805E1" w:rsidP="00260513">
            <w:pPr>
              <w:spacing w:after="0" w:line="240" w:lineRule="auto"/>
              <w:jc w:val="center"/>
              <w:rPr>
                <w:rFonts w:ascii="Arial" w:eastAsia="Times New Roman" w:hAnsi="Arial" w:cs="Arial"/>
                <w:b/>
                <w:bCs/>
                <w:color w:val="000000"/>
                <w:sz w:val="32"/>
                <w:szCs w:val="32"/>
                <w:lang w:eastAsia="en-GB"/>
              </w:rPr>
            </w:pPr>
            <w:r w:rsidRPr="00EA1825">
              <w:rPr>
                <w:rFonts w:ascii="Arial" w:eastAsia="Times New Roman" w:hAnsi="Arial" w:cs="Arial"/>
                <w:b/>
                <w:bCs/>
                <w:color w:val="000000"/>
                <w:sz w:val="32"/>
                <w:szCs w:val="32"/>
                <w:lang w:eastAsia="en-GB"/>
              </w:rPr>
              <w:t>54</w:t>
            </w:r>
            <w:r w:rsidR="00AB1F86">
              <w:rPr>
                <w:rFonts w:ascii="Arial" w:eastAsia="Times New Roman" w:hAnsi="Arial" w:cs="Arial"/>
                <w:b/>
                <w:bCs/>
                <w:color w:val="000000"/>
                <w:sz w:val="32"/>
                <w:szCs w:val="32"/>
                <w:lang w:eastAsia="en-GB"/>
              </w:rPr>
              <w:t>.8</w:t>
            </w:r>
            <w:r w:rsidRPr="00EA1825">
              <w:rPr>
                <w:rFonts w:ascii="Arial" w:eastAsia="Times New Roman" w:hAnsi="Arial" w:cs="Arial"/>
                <w:b/>
                <w:bCs/>
                <w:color w:val="000000"/>
                <w:sz w:val="32"/>
                <w:szCs w:val="32"/>
                <w:lang w:eastAsia="en-GB"/>
              </w:rPr>
              <w:t>%</w:t>
            </w:r>
          </w:p>
        </w:tc>
      </w:tr>
      <w:tr w:rsidR="00C805E1" w:rsidRPr="00EA1825" w:rsidTr="00B135E6">
        <w:trPr>
          <w:trHeight w:val="288"/>
          <w:jc w:val="center"/>
        </w:trPr>
        <w:tc>
          <w:tcPr>
            <w:tcW w:w="3678" w:type="dxa"/>
            <w:shd w:val="clear" w:color="auto" w:fill="EAF1DD" w:themeFill="accent3" w:themeFillTint="33"/>
            <w:noWrap/>
            <w:vAlign w:val="center"/>
            <w:hideMark/>
          </w:tcPr>
          <w:p w:rsidR="00C805E1" w:rsidRPr="00EA1825" w:rsidRDefault="00C805E1" w:rsidP="00260513">
            <w:pPr>
              <w:spacing w:after="0" w:line="240" w:lineRule="auto"/>
              <w:jc w:val="center"/>
              <w:rPr>
                <w:rFonts w:ascii="Arial" w:eastAsia="Times New Roman" w:hAnsi="Arial" w:cs="Arial"/>
                <w:b/>
                <w:bCs/>
                <w:color w:val="000000"/>
                <w:lang w:eastAsia="en-GB"/>
              </w:rPr>
            </w:pPr>
            <w:r w:rsidRPr="00EA1825">
              <w:rPr>
                <w:rFonts w:ascii="Arial" w:eastAsia="Times New Roman" w:hAnsi="Arial" w:cs="Arial"/>
                <w:b/>
                <w:bCs/>
                <w:color w:val="000000"/>
                <w:lang w:eastAsia="en-GB"/>
              </w:rPr>
              <w:t>MEN</w:t>
            </w:r>
          </w:p>
        </w:tc>
        <w:tc>
          <w:tcPr>
            <w:tcW w:w="4922" w:type="dxa"/>
            <w:shd w:val="clear" w:color="auto" w:fill="EAF1DD" w:themeFill="accent3" w:themeFillTint="33"/>
            <w:noWrap/>
            <w:vAlign w:val="center"/>
            <w:hideMark/>
          </w:tcPr>
          <w:p w:rsidR="00C805E1" w:rsidRPr="00EA1825" w:rsidRDefault="00C805E1" w:rsidP="00260513">
            <w:pPr>
              <w:spacing w:after="0" w:line="240" w:lineRule="auto"/>
              <w:jc w:val="center"/>
              <w:rPr>
                <w:rFonts w:ascii="Arial" w:eastAsia="Times New Roman" w:hAnsi="Arial" w:cs="Arial"/>
                <w:b/>
                <w:bCs/>
                <w:color w:val="000000"/>
                <w:lang w:eastAsia="en-GB"/>
              </w:rPr>
            </w:pPr>
            <w:r w:rsidRPr="00EA1825">
              <w:rPr>
                <w:rFonts w:ascii="Arial" w:eastAsia="Times New Roman" w:hAnsi="Arial" w:cs="Arial"/>
                <w:b/>
                <w:bCs/>
                <w:color w:val="000000"/>
                <w:lang w:eastAsia="en-GB"/>
              </w:rPr>
              <w:t>WOMEN</w:t>
            </w:r>
          </w:p>
        </w:tc>
      </w:tr>
      <w:tr w:rsidR="00C805E1" w:rsidRPr="00EA1825" w:rsidTr="00B135E6">
        <w:trPr>
          <w:trHeight w:val="420"/>
          <w:jc w:val="center"/>
        </w:trPr>
        <w:tc>
          <w:tcPr>
            <w:tcW w:w="3678" w:type="dxa"/>
            <w:shd w:val="clear" w:color="auto" w:fill="EAF1DD" w:themeFill="accent3" w:themeFillTint="33"/>
            <w:noWrap/>
            <w:vAlign w:val="center"/>
            <w:hideMark/>
          </w:tcPr>
          <w:p w:rsidR="00C805E1" w:rsidRPr="00EA1825" w:rsidRDefault="00C805E1" w:rsidP="00EA1825">
            <w:pPr>
              <w:spacing w:after="0" w:line="240" w:lineRule="auto"/>
              <w:jc w:val="center"/>
              <w:rPr>
                <w:rFonts w:ascii="Arial" w:eastAsia="Times New Roman" w:hAnsi="Arial" w:cs="Arial"/>
                <w:b/>
                <w:bCs/>
                <w:color w:val="000000"/>
                <w:sz w:val="32"/>
                <w:szCs w:val="32"/>
                <w:lang w:eastAsia="en-GB"/>
              </w:rPr>
            </w:pPr>
          </w:p>
        </w:tc>
        <w:tc>
          <w:tcPr>
            <w:tcW w:w="4922" w:type="dxa"/>
            <w:shd w:val="clear" w:color="auto" w:fill="EAF1DD" w:themeFill="accent3" w:themeFillTint="33"/>
            <w:noWrap/>
            <w:vAlign w:val="center"/>
            <w:hideMark/>
          </w:tcPr>
          <w:p w:rsidR="00C805E1" w:rsidRPr="00EA1825" w:rsidRDefault="00C805E1" w:rsidP="00EA1825">
            <w:pPr>
              <w:spacing w:after="0" w:line="240" w:lineRule="auto"/>
              <w:jc w:val="center"/>
              <w:rPr>
                <w:rFonts w:ascii="Arial" w:eastAsia="Times New Roman" w:hAnsi="Arial" w:cs="Arial"/>
                <w:b/>
                <w:bCs/>
                <w:color w:val="000000"/>
                <w:sz w:val="32"/>
                <w:szCs w:val="32"/>
                <w:lang w:eastAsia="en-GB"/>
              </w:rPr>
            </w:pPr>
          </w:p>
        </w:tc>
      </w:tr>
      <w:tr w:rsidR="00C805E1" w:rsidRPr="00EA1825" w:rsidTr="00B135E6">
        <w:trPr>
          <w:trHeight w:val="288"/>
          <w:jc w:val="center"/>
        </w:trPr>
        <w:tc>
          <w:tcPr>
            <w:tcW w:w="8600" w:type="dxa"/>
            <w:gridSpan w:val="2"/>
            <w:shd w:val="clear" w:color="auto" w:fill="EAF1DD" w:themeFill="accent3" w:themeFillTint="33"/>
            <w:noWrap/>
            <w:vAlign w:val="center"/>
            <w:hideMark/>
          </w:tcPr>
          <w:p w:rsidR="00C805E1" w:rsidRPr="00EA1825" w:rsidRDefault="00C805E1" w:rsidP="00EA1825">
            <w:pPr>
              <w:spacing w:after="0" w:line="240" w:lineRule="auto"/>
              <w:jc w:val="center"/>
              <w:rPr>
                <w:rFonts w:ascii="Arial" w:eastAsia="Times New Roman" w:hAnsi="Arial" w:cs="Arial"/>
                <w:b/>
                <w:bCs/>
                <w:color w:val="000000"/>
                <w:lang w:eastAsia="en-GB"/>
              </w:rPr>
            </w:pPr>
            <w:r w:rsidRPr="00EA1825">
              <w:rPr>
                <w:rFonts w:ascii="Arial" w:eastAsia="Times New Roman" w:hAnsi="Arial" w:cs="Arial"/>
                <w:b/>
                <w:bCs/>
                <w:color w:val="000000"/>
                <w:lang w:eastAsia="en-GB"/>
              </w:rPr>
              <w:t>Upper middle quartile</w:t>
            </w:r>
            <w:r w:rsidR="00755220">
              <w:rPr>
                <w:rFonts w:ascii="Arial" w:eastAsia="Times New Roman" w:hAnsi="Arial" w:cs="Arial"/>
                <w:b/>
                <w:bCs/>
                <w:color w:val="000000"/>
                <w:lang w:eastAsia="en-GB"/>
              </w:rPr>
              <w:t xml:space="preserve"> (3)</w:t>
            </w:r>
          </w:p>
        </w:tc>
      </w:tr>
      <w:tr w:rsidR="00C805E1" w:rsidRPr="00EA1825" w:rsidTr="00B135E6">
        <w:trPr>
          <w:trHeight w:val="288"/>
          <w:jc w:val="center"/>
        </w:trPr>
        <w:tc>
          <w:tcPr>
            <w:tcW w:w="3678" w:type="dxa"/>
            <w:shd w:val="clear" w:color="auto" w:fill="EAF1DD" w:themeFill="accent3" w:themeFillTint="33"/>
            <w:noWrap/>
            <w:vAlign w:val="center"/>
            <w:hideMark/>
          </w:tcPr>
          <w:p w:rsidR="00C805E1" w:rsidRPr="00EA1825" w:rsidRDefault="00C805E1" w:rsidP="00EA1825">
            <w:pPr>
              <w:spacing w:after="0" w:line="240" w:lineRule="auto"/>
              <w:jc w:val="center"/>
              <w:rPr>
                <w:rFonts w:ascii="Arial" w:eastAsia="Times New Roman" w:hAnsi="Arial" w:cs="Arial"/>
                <w:b/>
                <w:bCs/>
                <w:color w:val="000000"/>
                <w:lang w:eastAsia="en-GB"/>
              </w:rPr>
            </w:pPr>
            <w:r w:rsidRPr="00EA1825">
              <w:rPr>
                <w:rFonts w:ascii="Arial" w:eastAsia="Times New Roman" w:hAnsi="Arial" w:cs="Arial"/>
                <w:b/>
                <w:bCs/>
                <w:color w:val="000000"/>
                <w:lang w:eastAsia="en-GB"/>
              </w:rPr>
              <w:t>MEN</w:t>
            </w:r>
          </w:p>
        </w:tc>
        <w:tc>
          <w:tcPr>
            <w:tcW w:w="4922" w:type="dxa"/>
            <w:shd w:val="clear" w:color="auto" w:fill="EAF1DD" w:themeFill="accent3" w:themeFillTint="33"/>
            <w:noWrap/>
            <w:vAlign w:val="center"/>
            <w:hideMark/>
          </w:tcPr>
          <w:p w:rsidR="00C805E1" w:rsidRPr="00EA1825" w:rsidRDefault="00C805E1" w:rsidP="00EA1825">
            <w:pPr>
              <w:spacing w:after="0" w:line="240" w:lineRule="auto"/>
              <w:jc w:val="center"/>
              <w:rPr>
                <w:rFonts w:ascii="Arial" w:eastAsia="Times New Roman" w:hAnsi="Arial" w:cs="Arial"/>
                <w:b/>
                <w:bCs/>
                <w:color w:val="000000"/>
                <w:lang w:eastAsia="en-GB"/>
              </w:rPr>
            </w:pPr>
            <w:r w:rsidRPr="00EA1825">
              <w:rPr>
                <w:rFonts w:ascii="Arial" w:eastAsia="Times New Roman" w:hAnsi="Arial" w:cs="Arial"/>
                <w:b/>
                <w:bCs/>
                <w:color w:val="000000"/>
                <w:lang w:eastAsia="en-GB"/>
              </w:rPr>
              <w:t>WOMEN</w:t>
            </w:r>
          </w:p>
        </w:tc>
      </w:tr>
      <w:tr w:rsidR="00C805E1" w:rsidRPr="00EA1825" w:rsidTr="00B135E6">
        <w:trPr>
          <w:trHeight w:val="420"/>
          <w:jc w:val="center"/>
        </w:trPr>
        <w:tc>
          <w:tcPr>
            <w:tcW w:w="3678" w:type="dxa"/>
            <w:shd w:val="clear" w:color="auto" w:fill="EAF1DD" w:themeFill="accent3" w:themeFillTint="33"/>
            <w:noWrap/>
            <w:vAlign w:val="center"/>
            <w:hideMark/>
          </w:tcPr>
          <w:p w:rsidR="00C805E1" w:rsidRPr="00EA1825" w:rsidRDefault="00C805E1" w:rsidP="00C805E1">
            <w:pPr>
              <w:spacing w:after="0" w:line="240" w:lineRule="auto"/>
              <w:jc w:val="center"/>
              <w:rPr>
                <w:rFonts w:ascii="Arial" w:eastAsia="Times New Roman" w:hAnsi="Arial" w:cs="Arial"/>
                <w:b/>
                <w:bCs/>
                <w:color w:val="000000"/>
                <w:sz w:val="32"/>
                <w:szCs w:val="32"/>
                <w:lang w:eastAsia="en-GB"/>
              </w:rPr>
            </w:pPr>
            <w:r w:rsidRPr="00EA1825">
              <w:rPr>
                <w:rFonts w:ascii="Arial" w:eastAsia="Times New Roman" w:hAnsi="Arial" w:cs="Arial"/>
                <w:b/>
                <w:bCs/>
                <w:color w:val="000000"/>
                <w:sz w:val="32"/>
                <w:szCs w:val="32"/>
                <w:lang w:eastAsia="en-GB"/>
              </w:rPr>
              <w:t>1</w:t>
            </w:r>
            <w:r w:rsidR="00AB1F86">
              <w:rPr>
                <w:rFonts w:ascii="Arial" w:eastAsia="Times New Roman" w:hAnsi="Arial" w:cs="Arial"/>
                <w:b/>
                <w:bCs/>
                <w:color w:val="000000"/>
                <w:sz w:val="32"/>
                <w:szCs w:val="32"/>
                <w:lang w:eastAsia="en-GB"/>
              </w:rPr>
              <w:t>4.6</w:t>
            </w:r>
            <w:r w:rsidRPr="00EA1825">
              <w:rPr>
                <w:rFonts w:ascii="Arial" w:eastAsia="Times New Roman" w:hAnsi="Arial" w:cs="Arial"/>
                <w:b/>
                <w:bCs/>
                <w:color w:val="000000"/>
                <w:sz w:val="32"/>
                <w:szCs w:val="32"/>
                <w:lang w:eastAsia="en-GB"/>
              </w:rPr>
              <w:t>%</w:t>
            </w:r>
          </w:p>
        </w:tc>
        <w:tc>
          <w:tcPr>
            <w:tcW w:w="4922" w:type="dxa"/>
            <w:shd w:val="clear" w:color="auto" w:fill="EAF1DD" w:themeFill="accent3" w:themeFillTint="33"/>
            <w:noWrap/>
            <w:vAlign w:val="center"/>
            <w:hideMark/>
          </w:tcPr>
          <w:p w:rsidR="00C805E1" w:rsidRPr="00EA1825" w:rsidRDefault="00C805E1" w:rsidP="00C805E1">
            <w:pPr>
              <w:spacing w:after="0" w:line="240" w:lineRule="auto"/>
              <w:jc w:val="center"/>
              <w:rPr>
                <w:rFonts w:ascii="Arial" w:eastAsia="Times New Roman" w:hAnsi="Arial" w:cs="Arial"/>
                <w:b/>
                <w:bCs/>
                <w:color w:val="000000"/>
                <w:sz w:val="32"/>
                <w:szCs w:val="32"/>
                <w:lang w:eastAsia="en-GB"/>
              </w:rPr>
            </w:pPr>
            <w:r w:rsidRPr="00EA1825">
              <w:rPr>
                <w:rFonts w:ascii="Arial" w:eastAsia="Times New Roman" w:hAnsi="Arial" w:cs="Arial"/>
                <w:b/>
                <w:bCs/>
                <w:color w:val="000000"/>
                <w:sz w:val="32"/>
                <w:szCs w:val="32"/>
                <w:lang w:eastAsia="en-GB"/>
              </w:rPr>
              <w:t>8</w:t>
            </w:r>
            <w:r w:rsidR="00AB1F86">
              <w:rPr>
                <w:rFonts w:ascii="Arial" w:eastAsia="Times New Roman" w:hAnsi="Arial" w:cs="Arial"/>
                <w:b/>
                <w:bCs/>
                <w:color w:val="000000"/>
                <w:sz w:val="32"/>
                <w:szCs w:val="32"/>
                <w:lang w:eastAsia="en-GB"/>
              </w:rPr>
              <w:t>5.4</w:t>
            </w:r>
            <w:r w:rsidRPr="00EA1825">
              <w:rPr>
                <w:rFonts w:ascii="Arial" w:eastAsia="Times New Roman" w:hAnsi="Arial" w:cs="Arial"/>
                <w:b/>
                <w:bCs/>
                <w:color w:val="000000"/>
                <w:sz w:val="32"/>
                <w:szCs w:val="32"/>
                <w:lang w:eastAsia="en-GB"/>
              </w:rPr>
              <w:t>%</w:t>
            </w:r>
          </w:p>
        </w:tc>
      </w:tr>
      <w:tr w:rsidR="00C805E1" w:rsidRPr="00EA1825" w:rsidTr="00B135E6">
        <w:trPr>
          <w:trHeight w:val="420"/>
          <w:jc w:val="center"/>
        </w:trPr>
        <w:tc>
          <w:tcPr>
            <w:tcW w:w="3678" w:type="dxa"/>
            <w:shd w:val="clear" w:color="auto" w:fill="EAF1DD" w:themeFill="accent3" w:themeFillTint="33"/>
            <w:noWrap/>
            <w:vAlign w:val="center"/>
            <w:hideMark/>
          </w:tcPr>
          <w:p w:rsidR="00C805E1" w:rsidRPr="00EA1825" w:rsidRDefault="00C805E1" w:rsidP="00EA1825">
            <w:pPr>
              <w:spacing w:after="0" w:line="240" w:lineRule="auto"/>
              <w:jc w:val="center"/>
              <w:rPr>
                <w:rFonts w:ascii="Arial" w:eastAsia="Times New Roman" w:hAnsi="Arial" w:cs="Arial"/>
                <w:b/>
                <w:bCs/>
                <w:color w:val="000000"/>
                <w:sz w:val="32"/>
                <w:szCs w:val="32"/>
                <w:lang w:eastAsia="en-GB"/>
              </w:rPr>
            </w:pPr>
          </w:p>
        </w:tc>
        <w:tc>
          <w:tcPr>
            <w:tcW w:w="4922" w:type="dxa"/>
            <w:shd w:val="clear" w:color="auto" w:fill="EAF1DD" w:themeFill="accent3" w:themeFillTint="33"/>
            <w:noWrap/>
            <w:vAlign w:val="center"/>
            <w:hideMark/>
          </w:tcPr>
          <w:p w:rsidR="00C805E1" w:rsidRPr="00EA1825" w:rsidRDefault="00C805E1" w:rsidP="00EA1825">
            <w:pPr>
              <w:spacing w:after="0" w:line="240" w:lineRule="auto"/>
              <w:jc w:val="center"/>
              <w:rPr>
                <w:rFonts w:ascii="Arial" w:eastAsia="Times New Roman" w:hAnsi="Arial" w:cs="Arial"/>
                <w:b/>
                <w:bCs/>
                <w:color w:val="000000"/>
                <w:sz w:val="32"/>
                <w:szCs w:val="32"/>
                <w:lang w:eastAsia="en-GB"/>
              </w:rPr>
            </w:pPr>
          </w:p>
        </w:tc>
      </w:tr>
      <w:tr w:rsidR="00C805E1" w:rsidRPr="00EA1825" w:rsidTr="00B135E6">
        <w:trPr>
          <w:trHeight w:val="288"/>
          <w:jc w:val="center"/>
        </w:trPr>
        <w:tc>
          <w:tcPr>
            <w:tcW w:w="8600" w:type="dxa"/>
            <w:gridSpan w:val="2"/>
            <w:shd w:val="clear" w:color="auto" w:fill="EAF1DD" w:themeFill="accent3" w:themeFillTint="33"/>
            <w:noWrap/>
            <w:vAlign w:val="center"/>
            <w:hideMark/>
          </w:tcPr>
          <w:p w:rsidR="00C805E1" w:rsidRPr="00EA1825" w:rsidRDefault="00C805E1" w:rsidP="00EA1825">
            <w:pPr>
              <w:spacing w:after="0" w:line="240" w:lineRule="auto"/>
              <w:jc w:val="center"/>
              <w:rPr>
                <w:rFonts w:ascii="Arial" w:eastAsia="Times New Roman" w:hAnsi="Arial" w:cs="Arial"/>
                <w:b/>
                <w:bCs/>
                <w:color w:val="000000"/>
                <w:lang w:eastAsia="en-GB"/>
              </w:rPr>
            </w:pPr>
            <w:r w:rsidRPr="00EA1825">
              <w:rPr>
                <w:rFonts w:ascii="Arial" w:eastAsia="Times New Roman" w:hAnsi="Arial" w:cs="Arial"/>
                <w:b/>
                <w:bCs/>
                <w:color w:val="000000"/>
                <w:lang w:eastAsia="en-GB"/>
              </w:rPr>
              <w:t>Lower middle quartile</w:t>
            </w:r>
            <w:r w:rsidR="00755220">
              <w:rPr>
                <w:rFonts w:ascii="Arial" w:eastAsia="Times New Roman" w:hAnsi="Arial" w:cs="Arial"/>
                <w:b/>
                <w:bCs/>
                <w:color w:val="000000"/>
                <w:lang w:eastAsia="en-GB"/>
              </w:rPr>
              <w:t xml:space="preserve"> (2)</w:t>
            </w:r>
          </w:p>
        </w:tc>
      </w:tr>
      <w:tr w:rsidR="00C805E1" w:rsidRPr="00EA1825" w:rsidTr="00B135E6">
        <w:trPr>
          <w:trHeight w:val="420"/>
          <w:jc w:val="center"/>
        </w:trPr>
        <w:tc>
          <w:tcPr>
            <w:tcW w:w="3678" w:type="dxa"/>
            <w:shd w:val="clear" w:color="auto" w:fill="EAF1DD" w:themeFill="accent3" w:themeFillTint="33"/>
            <w:noWrap/>
            <w:vAlign w:val="center"/>
            <w:hideMark/>
          </w:tcPr>
          <w:p w:rsidR="00C805E1" w:rsidRPr="00EA1825" w:rsidRDefault="00C805E1" w:rsidP="00C805E1">
            <w:pPr>
              <w:spacing w:after="0" w:line="240" w:lineRule="auto"/>
              <w:jc w:val="center"/>
              <w:rPr>
                <w:rFonts w:ascii="Arial" w:eastAsia="Times New Roman" w:hAnsi="Arial" w:cs="Arial"/>
                <w:b/>
                <w:bCs/>
                <w:color w:val="000000"/>
                <w:sz w:val="32"/>
                <w:szCs w:val="32"/>
                <w:lang w:eastAsia="en-GB"/>
              </w:rPr>
            </w:pPr>
            <w:r w:rsidRPr="00EA1825">
              <w:rPr>
                <w:rFonts w:ascii="Arial" w:eastAsia="Times New Roman" w:hAnsi="Arial" w:cs="Arial"/>
                <w:b/>
                <w:bCs/>
                <w:color w:val="000000"/>
                <w:sz w:val="32"/>
                <w:szCs w:val="32"/>
                <w:lang w:eastAsia="en-GB"/>
              </w:rPr>
              <w:t>1</w:t>
            </w:r>
            <w:r>
              <w:rPr>
                <w:rFonts w:ascii="Arial" w:eastAsia="Times New Roman" w:hAnsi="Arial" w:cs="Arial"/>
                <w:b/>
                <w:bCs/>
                <w:color w:val="000000"/>
                <w:sz w:val="32"/>
                <w:szCs w:val="32"/>
                <w:lang w:eastAsia="en-GB"/>
              </w:rPr>
              <w:t>5</w:t>
            </w:r>
            <w:r w:rsidR="00AB1F86">
              <w:rPr>
                <w:rFonts w:ascii="Arial" w:eastAsia="Times New Roman" w:hAnsi="Arial" w:cs="Arial"/>
                <w:b/>
                <w:bCs/>
                <w:color w:val="000000"/>
                <w:sz w:val="32"/>
                <w:szCs w:val="32"/>
                <w:lang w:eastAsia="en-GB"/>
              </w:rPr>
              <w:t>.4</w:t>
            </w:r>
            <w:r w:rsidRPr="00EA1825">
              <w:rPr>
                <w:rFonts w:ascii="Arial" w:eastAsia="Times New Roman" w:hAnsi="Arial" w:cs="Arial"/>
                <w:b/>
                <w:bCs/>
                <w:color w:val="000000"/>
                <w:sz w:val="32"/>
                <w:szCs w:val="32"/>
                <w:lang w:eastAsia="en-GB"/>
              </w:rPr>
              <w:t>%</w:t>
            </w:r>
          </w:p>
        </w:tc>
        <w:tc>
          <w:tcPr>
            <w:tcW w:w="4922" w:type="dxa"/>
            <w:shd w:val="clear" w:color="auto" w:fill="EAF1DD" w:themeFill="accent3" w:themeFillTint="33"/>
            <w:noWrap/>
            <w:vAlign w:val="center"/>
            <w:hideMark/>
          </w:tcPr>
          <w:p w:rsidR="00C805E1" w:rsidRPr="00EA1825" w:rsidRDefault="00C805E1" w:rsidP="00AB1F86">
            <w:pPr>
              <w:spacing w:after="0" w:line="240" w:lineRule="auto"/>
              <w:jc w:val="center"/>
              <w:rPr>
                <w:rFonts w:ascii="Arial" w:eastAsia="Times New Roman" w:hAnsi="Arial" w:cs="Arial"/>
                <w:b/>
                <w:bCs/>
                <w:color w:val="000000"/>
                <w:sz w:val="32"/>
                <w:szCs w:val="32"/>
                <w:lang w:eastAsia="en-GB"/>
              </w:rPr>
            </w:pPr>
            <w:r w:rsidRPr="00EA1825">
              <w:rPr>
                <w:rFonts w:ascii="Arial" w:eastAsia="Times New Roman" w:hAnsi="Arial" w:cs="Arial"/>
                <w:b/>
                <w:bCs/>
                <w:color w:val="000000"/>
                <w:sz w:val="32"/>
                <w:szCs w:val="32"/>
                <w:lang w:eastAsia="en-GB"/>
              </w:rPr>
              <w:t>8</w:t>
            </w:r>
            <w:r w:rsidR="00AB1F86">
              <w:rPr>
                <w:rFonts w:ascii="Arial" w:eastAsia="Times New Roman" w:hAnsi="Arial" w:cs="Arial"/>
                <w:b/>
                <w:bCs/>
                <w:color w:val="000000"/>
                <w:sz w:val="32"/>
                <w:szCs w:val="32"/>
                <w:lang w:eastAsia="en-GB"/>
              </w:rPr>
              <w:t>4.6</w:t>
            </w:r>
            <w:r w:rsidRPr="00EA1825">
              <w:rPr>
                <w:rFonts w:ascii="Arial" w:eastAsia="Times New Roman" w:hAnsi="Arial" w:cs="Arial"/>
                <w:b/>
                <w:bCs/>
                <w:color w:val="000000"/>
                <w:sz w:val="32"/>
                <w:szCs w:val="32"/>
                <w:lang w:eastAsia="en-GB"/>
              </w:rPr>
              <w:t>%</w:t>
            </w:r>
          </w:p>
        </w:tc>
      </w:tr>
      <w:tr w:rsidR="00C805E1" w:rsidRPr="00EA1825" w:rsidTr="00B135E6">
        <w:trPr>
          <w:trHeight w:val="288"/>
          <w:jc w:val="center"/>
        </w:trPr>
        <w:tc>
          <w:tcPr>
            <w:tcW w:w="3678" w:type="dxa"/>
            <w:shd w:val="clear" w:color="auto" w:fill="EAF1DD" w:themeFill="accent3" w:themeFillTint="33"/>
            <w:noWrap/>
            <w:vAlign w:val="center"/>
            <w:hideMark/>
          </w:tcPr>
          <w:p w:rsidR="00C805E1" w:rsidRPr="00EA1825" w:rsidRDefault="00C805E1" w:rsidP="00EA1825">
            <w:pPr>
              <w:spacing w:after="0" w:line="240" w:lineRule="auto"/>
              <w:jc w:val="center"/>
              <w:rPr>
                <w:rFonts w:ascii="Arial" w:eastAsia="Times New Roman" w:hAnsi="Arial" w:cs="Arial"/>
                <w:b/>
                <w:bCs/>
                <w:color w:val="000000"/>
                <w:lang w:eastAsia="en-GB"/>
              </w:rPr>
            </w:pPr>
            <w:r w:rsidRPr="00EA1825">
              <w:rPr>
                <w:rFonts w:ascii="Arial" w:eastAsia="Times New Roman" w:hAnsi="Arial" w:cs="Arial"/>
                <w:b/>
                <w:bCs/>
                <w:color w:val="000000"/>
                <w:lang w:eastAsia="en-GB"/>
              </w:rPr>
              <w:t>MEN</w:t>
            </w:r>
          </w:p>
        </w:tc>
        <w:tc>
          <w:tcPr>
            <w:tcW w:w="4922" w:type="dxa"/>
            <w:shd w:val="clear" w:color="auto" w:fill="EAF1DD" w:themeFill="accent3" w:themeFillTint="33"/>
            <w:noWrap/>
            <w:vAlign w:val="center"/>
            <w:hideMark/>
          </w:tcPr>
          <w:p w:rsidR="00C805E1" w:rsidRPr="00EA1825" w:rsidRDefault="00C805E1" w:rsidP="00EA1825">
            <w:pPr>
              <w:spacing w:after="0" w:line="240" w:lineRule="auto"/>
              <w:jc w:val="center"/>
              <w:rPr>
                <w:rFonts w:ascii="Arial" w:eastAsia="Times New Roman" w:hAnsi="Arial" w:cs="Arial"/>
                <w:b/>
                <w:bCs/>
                <w:color w:val="000000"/>
                <w:lang w:eastAsia="en-GB"/>
              </w:rPr>
            </w:pPr>
            <w:r w:rsidRPr="00EA1825">
              <w:rPr>
                <w:rFonts w:ascii="Arial" w:eastAsia="Times New Roman" w:hAnsi="Arial" w:cs="Arial"/>
                <w:b/>
                <w:bCs/>
                <w:color w:val="000000"/>
                <w:lang w:eastAsia="en-GB"/>
              </w:rPr>
              <w:t>WOMEN</w:t>
            </w:r>
          </w:p>
        </w:tc>
      </w:tr>
      <w:tr w:rsidR="00C805E1" w:rsidRPr="00EA1825" w:rsidTr="00B135E6">
        <w:trPr>
          <w:trHeight w:val="420"/>
          <w:jc w:val="center"/>
        </w:trPr>
        <w:tc>
          <w:tcPr>
            <w:tcW w:w="3678" w:type="dxa"/>
            <w:shd w:val="clear" w:color="auto" w:fill="EAF1DD" w:themeFill="accent3" w:themeFillTint="33"/>
            <w:noWrap/>
            <w:vAlign w:val="center"/>
            <w:hideMark/>
          </w:tcPr>
          <w:p w:rsidR="00C805E1" w:rsidRPr="00EA1825" w:rsidRDefault="00C805E1" w:rsidP="00EA1825">
            <w:pPr>
              <w:spacing w:after="0" w:line="240" w:lineRule="auto"/>
              <w:jc w:val="center"/>
              <w:rPr>
                <w:rFonts w:ascii="Arial" w:eastAsia="Times New Roman" w:hAnsi="Arial" w:cs="Arial"/>
                <w:b/>
                <w:bCs/>
                <w:color w:val="000000"/>
                <w:sz w:val="32"/>
                <w:szCs w:val="32"/>
                <w:lang w:eastAsia="en-GB"/>
              </w:rPr>
            </w:pPr>
          </w:p>
        </w:tc>
        <w:tc>
          <w:tcPr>
            <w:tcW w:w="4922" w:type="dxa"/>
            <w:shd w:val="clear" w:color="auto" w:fill="EAF1DD" w:themeFill="accent3" w:themeFillTint="33"/>
            <w:noWrap/>
            <w:vAlign w:val="center"/>
            <w:hideMark/>
          </w:tcPr>
          <w:p w:rsidR="00C805E1" w:rsidRPr="00EA1825" w:rsidRDefault="00C805E1" w:rsidP="00EA1825">
            <w:pPr>
              <w:spacing w:after="0" w:line="240" w:lineRule="auto"/>
              <w:jc w:val="center"/>
              <w:rPr>
                <w:rFonts w:ascii="Arial" w:eastAsia="Times New Roman" w:hAnsi="Arial" w:cs="Arial"/>
                <w:b/>
                <w:bCs/>
                <w:color w:val="000000"/>
                <w:sz w:val="32"/>
                <w:szCs w:val="32"/>
                <w:lang w:eastAsia="en-GB"/>
              </w:rPr>
            </w:pPr>
          </w:p>
        </w:tc>
      </w:tr>
      <w:tr w:rsidR="00C805E1" w:rsidRPr="00EA1825" w:rsidTr="00B135E6">
        <w:trPr>
          <w:trHeight w:val="288"/>
          <w:jc w:val="center"/>
        </w:trPr>
        <w:tc>
          <w:tcPr>
            <w:tcW w:w="8600" w:type="dxa"/>
            <w:gridSpan w:val="2"/>
            <w:shd w:val="clear" w:color="auto" w:fill="EAF1DD" w:themeFill="accent3" w:themeFillTint="33"/>
            <w:noWrap/>
            <w:vAlign w:val="center"/>
            <w:hideMark/>
          </w:tcPr>
          <w:p w:rsidR="00C805E1" w:rsidRPr="00EA1825" w:rsidRDefault="00C805E1" w:rsidP="00EA1825">
            <w:pPr>
              <w:spacing w:after="0" w:line="240" w:lineRule="auto"/>
              <w:jc w:val="center"/>
              <w:rPr>
                <w:rFonts w:ascii="Arial" w:eastAsia="Times New Roman" w:hAnsi="Arial" w:cs="Arial"/>
                <w:b/>
                <w:bCs/>
                <w:color w:val="000000"/>
                <w:lang w:eastAsia="en-GB"/>
              </w:rPr>
            </w:pPr>
            <w:r w:rsidRPr="00EA1825">
              <w:rPr>
                <w:rFonts w:ascii="Arial" w:eastAsia="Times New Roman" w:hAnsi="Arial" w:cs="Arial"/>
                <w:b/>
                <w:bCs/>
                <w:color w:val="000000"/>
                <w:lang w:eastAsia="en-GB"/>
              </w:rPr>
              <w:t>Lower quartile</w:t>
            </w:r>
            <w:r w:rsidR="00755220">
              <w:rPr>
                <w:rFonts w:ascii="Arial" w:eastAsia="Times New Roman" w:hAnsi="Arial" w:cs="Arial"/>
                <w:b/>
                <w:bCs/>
                <w:color w:val="000000"/>
                <w:lang w:eastAsia="en-GB"/>
              </w:rPr>
              <w:t xml:space="preserve"> (1)</w:t>
            </w:r>
          </w:p>
        </w:tc>
      </w:tr>
      <w:tr w:rsidR="00C805E1" w:rsidRPr="00EA1825" w:rsidTr="00B135E6">
        <w:trPr>
          <w:trHeight w:val="420"/>
          <w:jc w:val="center"/>
        </w:trPr>
        <w:tc>
          <w:tcPr>
            <w:tcW w:w="3678" w:type="dxa"/>
            <w:shd w:val="clear" w:color="auto" w:fill="EAF1DD" w:themeFill="accent3" w:themeFillTint="33"/>
            <w:noWrap/>
            <w:vAlign w:val="center"/>
            <w:hideMark/>
          </w:tcPr>
          <w:p w:rsidR="00C805E1" w:rsidRPr="00EA1825" w:rsidRDefault="00C805E1" w:rsidP="00AB1F86">
            <w:pPr>
              <w:spacing w:after="0" w:line="240" w:lineRule="auto"/>
              <w:jc w:val="center"/>
              <w:rPr>
                <w:rFonts w:ascii="Arial" w:eastAsia="Times New Roman" w:hAnsi="Arial" w:cs="Arial"/>
                <w:b/>
                <w:bCs/>
                <w:color w:val="000000"/>
                <w:sz w:val="32"/>
                <w:szCs w:val="32"/>
                <w:lang w:eastAsia="en-GB"/>
              </w:rPr>
            </w:pPr>
            <w:r>
              <w:rPr>
                <w:rFonts w:ascii="Arial" w:eastAsia="Times New Roman" w:hAnsi="Arial" w:cs="Arial"/>
                <w:b/>
                <w:bCs/>
                <w:color w:val="000000"/>
                <w:sz w:val="32"/>
                <w:szCs w:val="32"/>
                <w:lang w:eastAsia="en-GB"/>
              </w:rPr>
              <w:t>17</w:t>
            </w:r>
            <w:r w:rsidRPr="00EA1825">
              <w:rPr>
                <w:rFonts w:ascii="Arial" w:eastAsia="Times New Roman" w:hAnsi="Arial" w:cs="Arial"/>
                <w:b/>
                <w:bCs/>
                <w:color w:val="000000"/>
                <w:sz w:val="32"/>
                <w:szCs w:val="32"/>
                <w:lang w:eastAsia="en-GB"/>
              </w:rPr>
              <w:t>%</w:t>
            </w:r>
          </w:p>
        </w:tc>
        <w:tc>
          <w:tcPr>
            <w:tcW w:w="4922" w:type="dxa"/>
            <w:shd w:val="clear" w:color="auto" w:fill="EAF1DD" w:themeFill="accent3" w:themeFillTint="33"/>
            <w:noWrap/>
            <w:vAlign w:val="center"/>
            <w:hideMark/>
          </w:tcPr>
          <w:p w:rsidR="00C805E1" w:rsidRPr="00EA1825" w:rsidRDefault="00C805E1" w:rsidP="00AB1F86">
            <w:pPr>
              <w:spacing w:after="0" w:line="240" w:lineRule="auto"/>
              <w:jc w:val="center"/>
              <w:rPr>
                <w:rFonts w:ascii="Arial" w:eastAsia="Times New Roman" w:hAnsi="Arial" w:cs="Arial"/>
                <w:b/>
                <w:bCs/>
                <w:color w:val="000000"/>
                <w:sz w:val="32"/>
                <w:szCs w:val="32"/>
                <w:lang w:eastAsia="en-GB"/>
              </w:rPr>
            </w:pPr>
            <w:r>
              <w:rPr>
                <w:rFonts w:ascii="Arial" w:eastAsia="Times New Roman" w:hAnsi="Arial" w:cs="Arial"/>
                <w:b/>
                <w:bCs/>
                <w:color w:val="000000"/>
                <w:sz w:val="32"/>
                <w:szCs w:val="32"/>
                <w:lang w:eastAsia="en-GB"/>
              </w:rPr>
              <w:t>8</w:t>
            </w:r>
            <w:r w:rsidR="00AB1F86">
              <w:rPr>
                <w:rFonts w:ascii="Arial" w:eastAsia="Times New Roman" w:hAnsi="Arial" w:cs="Arial"/>
                <w:b/>
                <w:bCs/>
                <w:color w:val="000000"/>
                <w:sz w:val="32"/>
                <w:szCs w:val="32"/>
                <w:lang w:eastAsia="en-GB"/>
              </w:rPr>
              <w:t>3</w:t>
            </w:r>
            <w:r w:rsidRPr="00EA1825">
              <w:rPr>
                <w:rFonts w:ascii="Arial" w:eastAsia="Times New Roman" w:hAnsi="Arial" w:cs="Arial"/>
                <w:b/>
                <w:bCs/>
                <w:color w:val="000000"/>
                <w:sz w:val="32"/>
                <w:szCs w:val="32"/>
                <w:lang w:eastAsia="en-GB"/>
              </w:rPr>
              <w:t>%</w:t>
            </w:r>
          </w:p>
        </w:tc>
      </w:tr>
      <w:tr w:rsidR="00C805E1" w:rsidRPr="00EA1825" w:rsidTr="00B135E6">
        <w:trPr>
          <w:trHeight w:val="288"/>
          <w:jc w:val="center"/>
        </w:trPr>
        <w:tc>
          <w:tcPr>
            <w:tcW w:w="3678" w:type="dxa"/>
            <w:shd w:val="clear" w:color="auto" w:fill="EAF1DD" w:themeFill="accent3" w:themeFillTint="33"/>
            <w:noWrap/>
            <w:vAlign w:val="center"/>
            <w:hideMark/>
          </w:tcPr>
          <w:p w:rsidR="00C805E1" w:rsidRPr="00EA1825" w:rsidRDefault="00C805E1" w:rsidP="00260513">
            <w:pPr>
              <w:spacing w:after="0" w:line="240" w:lineRule="auto"/>
              <w:jc w:val="center"/>
              <w:rPr>
                <w:rFonts w:ascii="Arial" w:eastAsia="Times New Roman" w:hAnsi="Arial" w:cs="Arial"/>
                <w:b/>
                <w:bCs/>
                <w:color w:val="000000"/>
                <w:lang w:eastAsia="en-GB"/>
              </w:rPr>
            </w:pPr>
            <w:r w:rsidRPr="00EA1825">
              <w:rPr>
                <w:rFonts w:ascii="Arial" w:eastAsia="Times New Roman" w:hAnsi="Arial" w:cs="Arial"/>
                <w:b/>
                <w:bCs/>
                <w:color w:val="000000"/>
                <w:lang w:eastAsia="en-GB"/>
              </w:rPr>
              <w:t>MEN</w:t>
            </w:r>
          </w:p>
        </w:tc>
        <w:tc>
          <w:tcPr>
            <w:tcW w:w="4922" w:type="dxa"/>
            <w:shd w:val="clear" w:color="auto" w:fill="EAF1DD" w:themeFill="accent3" w:themeFillTint="33"/>
            <w:noWrap/>
            <w:vAlign w:val="center"/>
            <w:hideMark/>
          </w:tcPr>
          <w:p w:rsidR="00C805E1" w:rsidRPr="00EA1825" w:rsidRDefault="00C805E1" w:rsidP="00260513">
            <w:pPr>
              <w:spacing w:after="0" w:line="240" w:lineRule="auto"/>
              <w:jc w:val="center"/>
              <w:rPr>
                <w:rFonts w:ascii="Arial" w:eastAsia="Times New Roman" w:hAnsi="Arial" w:cs="Arial"/>
                <w:b/>
                <w:bCs/>
                <w:color w:val="000000"/>
                <w:lang w:eastAsia="en-GB"/>
              </w:rPr>
            </w:pPr>
            <w:r w:rsidRPr="00EA1825">
              <w:rPr>
                <w:rFonts w:ascii="Arial" w:eastAsia="Times New Roman" w:hAnsi="Arial" w:cs="Arial"/>
                <w:b/>
                <w:bCs/>
                <w:color w:val="000000"/>
                <w:lang w:eastAsia="en-GB"/>
              </w:rPr>
              <w:t>WOMEN</w:t>
            </w:r>
          </w:p>
        </w:tc>
      </w:tr>
      <w:tr w:rsidR="00C805E1" w:rsidRPr="00EA1825" w:rsidTr="00B135E6">
        <w:trPr>
          <w:trHeight w:val="288"/>
          <w:jc w:val="center"/>
        </w:trPr>
        <w:tc>
          <w:tcPr>
            <w:tcW w:w="3678" w:type="dxa"/>
            <w:shd w:val="clear" w:color="auto" w:fill="EAF1DD" w:themeFill="accent3" w:themeFillTint="33"/>
            <w:noWrap/>
            <w:vAlign w:val="center"/>
          </w:tcPr>
          <w:p w:rsidR="00C805E1" w:rsidRPr="00EA1825" w:rsidRDefault="00C805E1" w:rsidP="00EA1825">
            <w:pPr>
              <w:spacing w:after="0" w:line="240" w:lineRule="auto"/>
              <w:jc w:val="center"/>
              <w:rPr>
                <w:rFonts w:ascii="Arial" w:eastAsia="Times New Roman" w:hAnsi="Arial" w:cs="Arial"/>
                <w:b/>
                <w:bCs/>
                <w:color w:val="000000"/>
                <w:lang w:eastAsia="en-GB"/>
              </w:rPr>
            </w:pPr>
          </w:p>
        </w:tc>
        <w:tc>
          <w:tcPr>
            <w:tcW w:w="4922" w:type="dxa"/>
            <w:shd w:val="clear" w:color="auto" w:fill="EAF1DD" w:themeFill="accent3" w:themeFillTint="33"/>
            <w:noWrap/>
            <w:vAlign w:val="center"/>
          </w:tcPr>
          <w:p w:rsidR="00C805E1" w:rsidRPr="00EA1825" w:rsidRDefault="00C805E1" w:rsidP="00EA1825">
            <w:pPr>
              <w:spacing w:after="0" w:line="240" w:lineRule="auto"/>
              <w:jc w:val="center"/>
              <w:rPr>
                <w:rFonts w:ascii="Arial" w:eastAsia="Times New Roman" w:hAnsi="Arial" w:cs="Arial"/>
                <w:b/>
                <w:bCs/>
                <w:color w:val="000000"/>
                <w:lang w:eastAsia="en-GB"/>
              </w:rPr>
            </w:pPr>
          </w:p>
        </w:tc>
      </w:tr>
    </w:tbl>
    <w:p w:rsidR="002B30B5" w:rsidRDefault="002B30B5" w:rsidP="003130E1">
      <w:pPr>
        <w:pStyle w:val="Default"/>
        <w:rPr>
          <w:sz w:val="22"/>
          <w:szCs w:val="22"/>
        </w:rPr>
      </w:pPr>
    </w:p>
    <w:p w:rsidR="00495173" w:rsidRDefault="00495173" w:rsidP="003130E1">
      <w:pPr>
        <w:pStyle w:val="Default"/>
        <w:rPr>
          <w:sz w:val="22"/>
          <w:szCs w:val="22"/>
        </w:rPr>
      </w:pPr>
    </w:p>
    <w:p w:rsidR="00495173" w:rsidRDefault="00495173" w:rsidP="003130E1">
      <w:pPr>
        <w:pStyle w:val="Default"/>
        <w:rPr>
          <w:sz w:val="22"/>
          <w:szCs w:val="22"/>
        </w:rPr>
      </w:pPr>
    </w:p>
    <w:p w:rsidR="007716A9" w:rsidRPr="00D83445" w:rsidRDefault="007716A9" w:rsidP="00EA1825">
      <w:pPr>
        <w:pStyle w:val="Default"/>
        <w:numPr>
          <w:ilvl w:val="1"/>
          <w:numId w:val="18"/>
        </w:numPr>
        <w:ind w:left="709"/>
        <w:rPr>
          <w:b/>
          <w:bCs/>
          <w:i/>
          <w:sz w:val="26"/>
          <w:szCs w:val="26"/>
        </w:rPr>
      </w:pPr>
      <w:r w:rsidRPr="00D83445">
        <w:rPr>
          <w:b/>
          <w:bCs/>
          <w:i/>
          <w:sz w:val="26"/>
          <w:szCs w:val="26"/>
        </w:rPr>
        <w:t>Bonus pay</w:t>
      </w:r>
    </w:p>
    <w:p w:rsidR="002B30B5" w:rsidRDefault="002B30B5" w:rsidP="003130E1">
      <w:pPr>
        <w:pStyle w:val="Default"/>
        <w:rPr>
          <w:sz w:val="22"/>
          <w:szCs w:val="22"/>
        </w:rPr>
      </w:pPr>
    </w:p>
    <w:tbl>
      <w:tblPr>
        <w:tblW w:w="8600" w:type="dxa"/>
        <w:jc w:val="center"/>
        <w:tblInd w:w="93" w:type="dxa"/>
        <w:shd w:val="clear" w:color="auto" w:fill="EAF1DD" w:themeFill="accent3" w:themeFillTint="33"/>
        <w:tblLook w:val="04A0" w:firstRow="1" w:lastRow="0" w:firstColumn="1" w:lastColumn="0" w:noHBand="0" w:noVBand="1"/>
      </w:tblPr>
      <w:tblGrid>
        <w:gridCol w:w="3542"/>
        <w:gridCol w:w="5058"/>
      </w:tblGrid>
      <w:tr w:rsidR="00EA1825" w:rsidRPr="00EA1825" w:rsidTr="00B135E6">
        <w:trPr>
          <w:trHeight w:val="288"/>
          <w:jc w:val="center"/>
        </w:trPr>
        <w:tc>
          <w:tcPr>
            <w:tcW w:w="8600" w:type="dxa"/>
            <w:gridSpan w:val="2"/>
            <w:tcBorders>
              <w:top w:val="single" w:sz="4" w:space="0" w:color="auto"/>
              <w:left w:val="single" w:sz="4" w:space="0" w:color="auto"/>
              <w:bottom w:val="nil"/>
              <w:right w:val="single" w:sz="4" w:space="0" w:color="auto"/>
            </w:tcBorders>
            <w:shd w:val="clear" w:color="auto" w:fill="EAF1DD" w:themeFill="accent3" w:themeFillTint="33"/>
            <w:noWrap/>
            <w:vAlign w:val="center"/>
            <w:hideMark/>
          </w:tcPr>
          <w:p w:rsidR="00EA1825" w:rsidRPr="00EA1825" w:rsidRDefault="00EA1825" w:rsidP="00EA1825">
            <w:pPr>
              <w:spacing w:after="0" w:line="240" w:lineRule="auto"/>
              <w:jc w:val="center"/>
              <w:rPr>
                <w:rFonts w:ascii="Arial" w:eastAsia="Times New Roman" w:hAnsi="Arial" w:cs="Arial"/>
                <w:b/>
                <w:bCs/>
                <w:color w:val="000000"/>
                <w:u w:val="single"/>
                <w:lang w:eastAsia="en-GB"/>
              </w:rPr>
            </w:pPr>
            <w:r w:rsidRPr="00EA1825">
              <w:rPr>
                <w:rFonts w:ascii="Arial" w:eastAsia="Times New Roman" w:hAnsi="Arial" w:cs="Arial"/>
                <w:b/>
                <w:bCs/>
                <w:color w:val="000000"/>
                <w:u w:val="single"/>
                <w:lang w:eastAsia="en-GB"/>
              </w:rPr>
              <w:t>Women's bonus pay is:</w:t>
            </w:r>
          </w:p>
        </w:tc>
      </w:tr>
      <w:tr w:rsidR="00EA1825" w:rsidRPr="00EA1825" w:rsidTr="00B135E6">
        <w:trPr>
          <w:trHeight w:val="288"/>
          <w:jc w:val="center"/>
        </w:trPr>
        <w:tc>
          <w:tcPr>
            <w:tcW w:w="3542" w:type="dxa"/>
            <w:tcBorders>
              <w:top w:val="nil"/>
              <w:left w:val="single" w:sz="4" w:space="0" w:color="auto"/>
              <w:bottom w:val="nil"/>
              <w:right w:val="nil"/>
            </w:tcBorders>
            <w:shd w:val="clear" w:color="auto" w:fill="EAF1DD" w:themeFill="accent3" w:themeFillTint="33"/>
            <w:noWrap/>
            <w:vAlign w:val="bottom"/>
            <w:hideMark/>
          </w:tcPr>
          <w:p w:rsidR="00EA1825" w:rsidRPr="00EA1825" w:rsidRDefault="00EA1825" w:rsidP="00EA1825">
            <w:pPr>
              <w:spacing w:after="0" w:line="240" w:lineRule="auto"/>
              <w:rPr>
                <w:rFonts w:ascii="Calibri" w:eastAsia="Times New Roman" w:hAnsi="Calibri" w:cs="Times New Roman"/>
                <w:color w:val="000000"/>
                <w:lang w:eastAsia="en-GB"/>
              </w:rPr>
            </w:pPr>
          </w:p>
        </w:tc>
        <w:tc>
          <w:tcPr>
            <w:tcW w:w="5058" w:type="dxa"/>
            <w:tcBorders>
              <w:top w:val="nil"/>
              <w:left w:val="nil"/>
              <w:bottom w:val="nil"/>
              <w:right w:val="single" w:sz="4" w:space="0" w:color="auto"/>
            </w:tcBorders>
            <w:shd w:val="clear" w:color="auto" w:fill="EAF1DD" w:themeFill="accent3" w:themeFillTint="33"/>
            <w:noWrap/>
            <w:vAlign w:val="bottom"/>
            <w:hideMark/>
          </w:tcPr>
          <w:p w:rsidR="00EA1825" w:rsidRPr="00EA1825" w:rsidRDefault="00EA1825" w:rsidP="00EA1825">
            <w:pPr>
              <w:spacing w:after="0" w:line="240" w:lineRule="auto"/>
              <w:rPr>
                <w:rFonts w:ascii="Calibri" w:eastAsia="Times New Roman" w:hAnsi="Calibri" w:cs="Times New Roman"/>
                <w:color w:val="000000"/>
                <w:lang w:eastAsia="en-GB"/>
              </w:rPr>
            </w:pPr>
          </w:p>
        </w:tc>
      </w:tr>
      <w:tr w:rsidR="00EA1825" w:rsidRPr="00EA1825" w:rsidTr="00B135E6">
        <w:trPr>
          <w:trHeight w:val="420"/>
          <w:jc w:val="center"/>
        </w:trPr>
        <w:tc>
          <w:tcPr>
            <w:tcW w:w="3542" w:type="dxa"/>
            <w:tcBorders>
              <w:top w:val="nil"/>
              <w:left w:val="single" w:sz="4" w:space="0" w:color="auto"/>
              <w:bottom w:val="nil"/>
              <w:right w:val="nil"/>
            </w:tcBorders>
            <w:shd w:val="clear" w:color="auto" w:fill="EAF1DD" w:themeFill="accent3" w:themeFillTint="33"/>
            <w:noWrap/>
            <w:vAlign w:val="center"/>
            <w:hideMark/>
          </w:tcPr>
          <w:p w:rsidR="00EA1825" w:rsidRPr="00EA1825" w:rsidRDefault="00EA1825" w:rsidP="007C4BDD">
            <w:pPr>
              <w:spacing w:after="0" w:line="240" w:lineRule="auto"/>
              <w:jc w:val="center"/>
              <w:rPr>
                <w:rFonts w:ascii="Arial" w:eastAsia="Times New Roman" w:hAnsi="Arial" w:cs="Arial"/>
                <w:b/>
                <w:bCs/>
                <w:color w:val="000000"/>
                <w:sz w:val="32"/>
                <w:szCs w:val="32"/>
                <w:lang w:eastAsia="en-GB"/>
              </w:rPr>
            </w:pPr>
            <w:r w:rsidRPr="00EA1825">
              <w:rPr>
                <w:rFonts w:ascii="Arial" w:eastAsia="Times New Roman" w:hAnsi="Arial" w:cs="Arial"/>
                <w:b/>
                <w:bCs/>
                <w:color w:val="000000"/>
                <w:sz w:val="32"/>
                <w:szCs w:val="32"/>
                <w:lang w:eastAsia="en-GB"/>
              </w:rPr>
              <w:t>1</w:t>
            </w:r>
            <w:r w:rsidR="007C4BDD">
              <w:rPr>
                <w:rFonts w:ascii="Arial" w:eastAsia="Times New Roman" w:hAnsi="Arial" w:cs="Arial"/>
                <w:b/>
                <w:bCs/>
                <w:color w:val="000000"/>
                <w:sz w:val="32"/>
                <w:szCs w:val="32"/>
                <w:lang w:eastAsia="en-GB"/>
              </w:rPr>
              <w:t>3.7</w:t>
            </w:r>
            <w:r w:rsidRPr="00EA1825">
              <w:rPr>
                <w:rFonts w:ascii="Arial" w:eastAsia="Times New Roman" w:hAnsi="Arial" w:cs="Arial"/>
                <w:b/>
                <w:bCs/>
                <w:color w:val="000000"/>
                <w:sz w:val="32"/>
                <w:szCs w:val="32"/>
                <w:lang w:eastAsia="en-GB"/>
              </w:rPr>
              <w:t>%</w:t>
            </w:r>
          </w:p>
        </w:tc>
        <w:tc>
          <w:tcPr>
            <w:tcW w:w="5058" w:type="dxa"/>
            <w:tcBorders>
              <w:top w:val="nil"/>
              <w:left w:val="nil"/>
              <w:bottom w:val="nil"/>
              <w:right w:val="single" w:sz="4" w:space="0" w:color="auto"/>
            </w:tcBorders>
            <w:shd w:val="clear" w:color="auto" w:fill="EAF1DD" w:themeFill="accent3" w:themeFillTint="33"/>
            <w:noWrap/>
            <w:vAlign w:val="center"/>
            <w:hideMark/>
          </w:tcPr>
          <w:p w:rsidR="00EA1825" w:rsidRPr="00EA1825" w:rsidRDefault="007C4BDD" w:rsidP="007C4BDD">
            <w:pPr>
              <w:spacing w:after="0" w:line="240" w:lineRule="auto"/>
              <w:jc w:val="center"/>
              <w:rPr>
                <w:rFonts w:ascii="Arial" w:eastAsia="Times New Roman" w:hAnsi="Arial" w:cs="Arial"/>
                <w:b/>
                <w:bCs/>
                <w:color w:val="000000"/>
                <w:sz w:val="32"/>
                <w:szCs w:val="32"/>
                <w:lang w:eastAsia="en-GB"/>
              </w:rPr>
            </w:pPr>
            <w:r>
              <w:rPr>
                <w:rFonts w:ascii="Arial" w:eastAsia="Times New Roman" w:hAnsi="Arial" w:cs="Arial"/>
                <w:b/>
                <w:bCs/>
                <w:color w:val="000000"/>
                <w:sz w:val="32"/>
                <w:szCs w:val="32"/>
                <w:lang w:eastAsia="en-GB"/>
              </w:rPr>
              <w:t>50</w:t>
            </w:r>
            <w:r w:rsidR="00EA1825" w:rsidRPr="00EA1825">
              <w:rPr>
                <w:rFonts w:ascii="Arial" w:eastAsia="Times New Roman" w:hAnsi="Arial" w:cs="Arial"/>
                <w:b/>
                <w:bCs/>
                <w:color w:val="000000"/>
                <w:sz w:val="32"/>
                <w:szCs w:val="32"/>
                <w:lang w:eastAsia="en-GB"/>
              </w:rPr>
              <w:t>%</w:t>
            </w:r>
          </w:p>
        </w:tc>
      </w:tr>
      <w:tr w:rsidR="00EA1825" w:rsidRPr="00EA1825" w:rsidTr="00B135E6">
        <w:trPr>
          <w:trHeight w:val="288"/>
          <w:jc w:val="center"/>
        </w:trPr>
        <w:tc>
          <w:tcPr>
            <w:tcW w:w="3542" w:type="dxa"/>
            <w:tcBorders>
              <w:top w:val="nil"/>
              <w:left w:val="single" w:sz="4" w:space="0" w:color="auto"/>
              <w:bottom w:val="nil"/>
              <w:right w:val="nil"/>
            </w:tcBorders>
            <w:shd w:val="clear" w:color="auto" w:fill="EAF1DD" w:themeFill="accent3" w:themeFillTint="33"/>
            <w:noWrap/>
            <w:vAlign w:val="center"/>
            <w:hideMark/>
          </w:tcPr>
          <w:p w:rsidR="00EA1825" w:rsidRPr="00EA1825" w:rsidRDefault="007C4BDD" w:rsidP="00EA1825">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HIGHER</w:t>
            </w:r>
          </w:p>
        </w:tc>
        <w:tc>
          <w:tcPr>
            <w:tcW w:w="5058" w:type="dxa"/>
            <w:tcBorders>
              <w:top w:val="nil"/>
              <w:left w:val="nil"/>
              <w:bottom w:val="nil"/>
              <w:right w:val="single" w:sz="4" w:space="0" w:color="auto"/>
            </w:tcBorders>
            <w:shd w:val="clear" w:color="auto" w:fill="EAF1DD" w:themeFill="accent3" w:themeFillTint="33"/>
            <w:noWrap/>
            <w:vAlign w:val="center"/>
            <w:hideMark/>
          </w:tcPr>
          <w:p w:rsidR="00EA1825" w:rsidRPr="00EA1825" w:rsidRDefault="00EA1825" w:rsidP="00EA1825">
            <w:pPr>
              <w:spacing w:after="0" w:line="240" w:lineRule="auto"/>
              <w:jc w:val="center"/>
              <w:rPr>
                <w:rFonts w:ascii="Arial" w:eastAsia="Times New Roman" w:hAnsi="Arial" w:cs="Arial"/>
                <w:b/>
                <w:bCs/>
                <w:color w:val="000000"/>
                <w:lang w:eastAsia="en-GB"/>
              </w:rPr>
            </w:pPr>
            <w:r w:rsidRPr="00EA1825">
              <w:rPr>
                <w:rFonts w:ascii="Arial" w:eastAsia="Times New Roman" w:hAnsi="Arial" w:cs="Arial"/>
                <w:b/>
                <w:bCs/>
                <w:color w:val="000000"/>
                <w:lang w:eastAsia="en-GB"/>
              </w:rPr>
              <w:t>LOWER</w:t>
            </w:r>
          </w:p>
        </w:tc>
      </w:tr>
      <w:tr w:rsidR="00EA1825" w:rsidRPr="00EA1825" w:rsidTr="00B135E6">
        <w:trPr>
          <w:trHeight w:val="288"/>
          <w:jc w:val="center"/>
        </w:trPr>
        <w:tc>
          <w:tcPr>
            <w:tcW w:w="3542" w:type="dxa"/>
            <w:tcBorders>
              <w:top w:val="nil"/>
              <w:left w:val="single" w:sz="4" w:space="0" w:color="auto"/>
              <w:bottom w:val="single" w:sz="4" w:space="0" w:color="auto"/>
              <w:right w:val="nil"/>
            </w:tcBorders>
            <w:shd w:val="clear" w:color="auto" w:fill="EAF1DD" w:themeFill="accent3" w:themeFillTint="33"/>
            <w:noWrap/>
            <w:vAlign w:val="center"/>
            <w:hideMark/>
          </w:tcPr>
          <w:p w:rsidR="00EA1825" w:rsidRPr="00EA1825" w:rsidRDefault="00EA1825" w:rsidP="00EA1825">
            <w:pPr>
              <w:spacing w:after="0" w:line="240" w:lineRule="auto"/>
              <w:jc w:val="center"/>
              <w:rPr>
                <w:rFonts w:ascii="Arial" w:eastAsia="Times New Roman" w:hAnsi="Arial" w:cs="Arial"/>
                <w:color w:val="000000"/>
                <w:lang w:eastAsia="en-GB"/>
              </w:rPr>
            </w:pPr>
            <w:r w:rsidRPr="00EA1825">
              <w:rPr>
                <w:rFonts w:ascii="Arial" w:eastAsia="Times New Roman" w:hAnsi="Arial" w:cs="Arial"/>
                <w:color w:val="000000"/>
                <w:lang w:eastAsia="en-GB"/>
              </w:rPr>
              <w:t>(mean)</w:t>
            </w:r>
          </w:p>
        </w:tc>
        <w:tc>
          <w:tcPr>
            <w:tcW w:w="5058" w:type="dxa"/>
            <w:tcBorders>
              <w:top w:val="nil"/>
              <w:left w:val="nil"/>
              <w:bottom w:val="single" w:sz="4" w:space="0" w:color="auto"/>
              <w:right w:val="single" w:sz="4" w:space="0" w:color="auto"/>
            </w:tcBorders>
            <w:shd w:val="clear" w:color="auto" w:fill="EAF1DD" w:themeFill="accent3" w:themeFillTint="33"/>
            <w:noWrap/>
            <w:vAlign w:val="center"/>
            <w:hideMark/>
          </w:tcPr>
          <w:p w:rsidR="00EA1825" w:rsidRPr="00EA1825" w:rsidRDefault="00EA1825" w:rsidP="00EA1825">
            <w:pPr>
              <w:spacing w:after="0" w:line="240" w:lineRule="auto"/>
              <w:jc w:val="center"/>
              <w:rPr>
                <w:rFonts w:ascii="Arial" w:eastAsia="Times New Roman" w:hAnsi="Arial" w:cs="Arial"/>
                <w:color w:val="000000"/>
                <w:lang w:eastAsia="en-GB"/>
              </w:rPr>
            </w:pPr>
            <w:r w:rsidRPr="00EA1825">
              <w:rPr>
                <w:rFonts w:ascii="Arial" w:eastAsia="Times New Roman" w:hAnsi="Arial" w:cs="Arial"/>
                <w:color w:val="000000"/>
                <w:lang w:eastAsia="en-GB"/>
              </w:rPr>
              <w:t>(median)</w:t>
            </w:r>
          </w:p>
        </w:tc>
      </w:tr>
      <w:tr w:rsidR="00EA1825" w:rsidRPr="00EA1825" w:rsidTr="00B135E6">
        <w:trPr>
          <w:trHeight w:val="288"/>
          <w:jc w:val="center"/>
        </w:trPr>
        <w:tc>
          <w:tcPr>
            <w:tcW w:w="8600" w:type="dxa"/>
            <w:gridSpan w:val="2"/>
            <w:tcBorders>
              <w:top w:val="single" w:sz="4" w:space="0" w:color="auto"/>
              <w:left w:val="single" w:sz="4" w:space="0" w:color="auto"/>
              <w:bottom w:val="nil"/>
              <w:right w:val="single" w:sz="4" w:space="0" w:color="auto"/>
            </w:tcBorders>
            <w:shd w:val="clear" w:color="auto" w:fill="EAF1DD" w:themeFill="accent3" w:themeFillTint="33"/>
            <w:noWrap/>
            <w:vAlign w:val="center"/>
            <w:hideMark/>
          </w:tcPr>
          <w:p w:rsidR="00EA1825" w:rsidRPr="00EA1825" w:rsidRDefault="00EA1825" w:rsidP="00EA1825">
            <w:pPr>
              <w:spacing w:after="0" w:line="240" w:lineRule="auto"/>
              <w:jc w:val="center"/>
              <w:rPr>
                <w:rFonts w:ascii="Arial" w:eastAsia="Times New Roman" w:hAnsi="Arial" w:cs="Arial"/>
                <w:b/>
                <w:bCs/>
                <w:color w:val="000000"/>
                <w:u w:val="single"/>
                <w:lang w:eastAsia="en-GB"/>
              </w:rPr>
            </w:pPr>
            <w:r w:rsidRPr="00EA1825">
              <w:rPr>
                <w:rFonts w:ascii="Arial" w:eastAsia="Times New Roman" w:hAnsi="Arial" w:cs="Arial"/>
                <w:b/>
                <w:bCs/>
                <w:color w:val="000000"/>
                <w:u w:val="single"/>
                <w:lang w:eastAsia="en-GB"/>
              </w:rPr>
              <w:t>Who received bonus pay:</w:t>
            </w:r>
          </w:p>
        </w:tc>
      </w:tr>
      <w:tr w:rsidR="00EA1825" w:rsidRPr="00EA1825" w:rsidTr="00B135E6">
        <w:trPr>
          <w:trHeight w:val="288"/>
          <w:jc w:val="center"/>
        </w:trPr>
        <w:tc>
          <w:tcPr>
            <w:tcW w:w="3542" w:type="dxa"/>
            <w:tcBorders>
              <w:top w:val="nil"/>
              <w:left w:val="single" w:sz="4" w:space="0" w:color="auto"/>
              <w:bottom w:val="nil"/>
              <w:right w:val="nil"/>
            </w:tcBorders>
            <w:shd w:val="clear" w:color="auto" w:fill="EAF1DD" w:themeFill="accent3" w:themeFillTint="33"/>
            <w:noWrap/>
            <w:vAlign w:val="bottom"/>
            <w:hideMark/>
          </w:tcPr>
          <w:p w:rsidR="00EA1825" w:rsidRPr="00EA1825" w:rsidRDefault="00EA1825" w:rsidP="00EA1825">
            <w:pPr>
              <w:spacing w:after="0" w:line="240" w:lineRule="auto"/>
              <w:rPr>
                <w:rFonts w:ascii="Calibri" w:eastAsia="Times New Roman" w:hAnsi="Calibri" w:cs="Times New Roman"/>
                <w:color w:val="000000"/>
                <w:lang w:eastAsia="en-GB"/>
              </w:rPr>
            </w:pPr>
          </w:p>
        </w:tc>
        <w:tc>
          <w:tcPr>
            <w:tcW w:w="5058" w:type="dxa"/>
            <w:tcBorders>
              <w:top w:val="nil"/>
              <w:left w:val="nil"/>
              <w:bottom w:val="nil"/>
              <w:right w:val="single" w:sz="4" w:space="0" w:color="auto"/>
            </w:tcBorders>
            <w:shd w:val="clear" w:color="auto" w:fill="EAF1DD" w:themeFill="accent3" w:themeFillTint="33"/>
            <w:noWrap/>
            <w:vAlign w:val="bottom"/>
            <w:hideMark/>
          </w:tcPr>
          <w:p w:rsidR="00EA1825" w:rsidRPr="00EA1825" w:rsidRDefault="00EA1825" w:rsidP="00EA1825">
            <w:pPr>
              <w:spacing w:after="0" w:line="240" w:lineRule="auto"/>
              <w:rPr>
                <w:rFonts w:ascii="Calibri" w:eastAsia="Times New Roman" w:hAnsi="Calibri" w:cs="Times New Roman"/>
                <w:color w:val="000000"/>
                <w:lang w:eastAsia="en-GB"/>
              </w:rPr>
            </w:pPr>
          </w:p>
        </w:tc>
      </w:tr>
      <w:tr w:rsidR="00EA1825" w:rsidRPr="00EA1825" w:rsidTr="00B135E6">
        <w:trPr>
          <w:trHeight w:val="420"/>
          <w:jc w:val="center"/>
        </w:trPr>
        <w:tc>
          <w:tcPr>
            <w:tcW w:w="3542" w:type="dxa"/>
            <w:tcBorders>
              <w:top w:val="nil"/>
              <w:left w:val="single" w:sz="4" w:space="0" w:color="auto"/>
              <w:bottom w:val="nil"/>
              <w:right w:val="nil"/>
            </w:tcBorders>
            <w:shd w:val="clear" w:color="auto" w:fill="EAF1DD" w:themeFill="accent3" w:themeFillTint="33"/>
            <w:noWrap/>
            <w:vAlign w:val="center"/>
            <w:hideMark/>
          </w:tcPr>
          <w:p w:rsidR="00EA1825" w:rsidRPr="00EA1825" w:rsidRDefault="007C4BDD" w:rsidP="007C4BDD">
            <w:pPr>
              <w:spacing w:after="0" w:line="240" w:lineRule="auto"/>
              <w:jc w:val="center"/>
              <w:rPr>
                <w:rFonts w:ascii="Arial" w:eastAsia="Times New Roman" w:hAnsi="Arial" w:cs="Arial"/>
                <w:b/>
                <w:bCs/>
                <w:color w:val="000000"/>
                <w:sz w:val="32"/>
                <w:szCs w:val="32"/>
                <w:lang w:eastAsia="en-GB"/>
              </w:rPr>
            </w:pPr>
            <w:r>
              <w:rPr>
                <w:rFonts w:ascii="Arial" w:eastAsia="Times New Roman" w:hAnsi="Arial" w:cs="Arial"/>
                <w:b/>
                <w:bCs/>
                <w:color w:val="000000"/>
                <w:sz w:val="32"/>
                <w:szCs w:val="32"/>
                <w:lang w:eastAsia="en-GB"/>
              </w:rPr>
              <w:t>10.1</w:t>
            </w:r>
            <w:r w:rsidR="00EA1825" w:rsidRPr="00EA1825">
              <w:rPr>
                <w:rFonts w:ascii="Arial" w:eastAsia="Times New Roman" w:hAnsi="Arial" w:cs="Arial"/>
                <w:b/>
                <w:bCs/>
                <w:color w:val="000000"/>
                <w:sz w:val="32"/>
                <w:szCs w:val="32"/>
                <w:lang w:eastAsia="en-GB"/>
              </w:rPr>
              <w:t>%</w:t>
            </w:r>
          </w:p>
        </w:tc>
        <w:tc>
          <w:tcPr>
            <w:tcW w:w="5058" w:type="dxa"/>
            <w:tcBorders>
              <w:top w:val="nil"/>
              <w:left w:val="nil"/>
              <w:bottom w:val="nil"/>
              <w:right w:val="single" w:sz="4" w:space="0" w:color="auto"/>
            </w:tcBorders>
            <w:shd w:val="clear" w:color="auto" w:fill="EAF1DD" w:themeFill="accent3" w:themeFillTint="33"/>
            <w:noWrap/>
            <w:vAlign w:val="center"/>
            <w:hideMark/>
          </w:tcPr>
          <w:p w:rsidR="00EA1825" w:rsidRPr="00EA1825" w:rsidRDefault="00EA1825" w:rsidP="00EA1825">
            <w:pPr>
              <w:spacing w:after="0" w:line="240" w:lineRule="auto"/>
              <w:jc w:val="center"/>
              <w:rPr>
                <w:rFonts w:ascii="Arial" w:eastAsia="Times New Roman" w:hAnsi="Arial" w:cs="Arial"/>
                <w:b/>
                <w:bCs/>
                <w:color w:val="000000"/>
                <w:sz w:val="32"/>
                <w:szCs w:val="32"/>
                <w:lang w:eastAsia="en-GB"/>
              </w:rPr>
            </w:pPr>
            <w:r w:rsidRPr="00EA1825">
              <w:rPr>
                <w:rFonts w:ascii="Arial" w:eastAsia="Times New Roman" w:hAnsi="Arial" w:cs="Arial"/>
                <w:b/>
                <w:bCs/>
                <w:color w:val="000000"/>
                <w:sz w:val="32"/>
                <w:szCs w:val="32"/>
                <w:lang w:eastAsia="en-GB"/>
              </w:rPr>
              <w:t>1</w:t>
            </w:r>
            <w:r w:rsidR="007C4BDD">
              <w:rPr>
                <w:rFonts w:ascii="Arial" w:eastAsia="Times New Roman" w:hAnsi="Arial" w:cs="Arial"/>
                <w:b/>
                <w:bCs/>
                <w:color w:val="000000"/>
                <w:sz w:val="32"/>
                <w:szCs w:val="32"/>
                <w:lang w:eastAsia="en-GB"/>
              </w:rPr>
              <w:t>.1</w:t>
            </w:r>
            <w:r w:rsidRPr="00EA1825">
              <w:rPr>
                <w:rFonts w:ascii="Arial" w:eastAsia="Times New Roman" w:hAnsi="Arial" w:cs="Arial"/>
                <w:b/>
                <w:bCs/>
                <w:color w:val="000000"/>
                <w:sz w:val="32"/>
                <w:szCs w:val="32"/>
                <w:lang w:eastAsia="en-GB"/>
              </w:rPr>
              <w:t>%</w:t>
            </w:r>
          </w:p>
        </w:tc>
      </w:tr>
      <w:tr w:rsidR="00EA1825" w:rsidRPr="00EA1825" w:rsidTr="00B135E6">
        <w:trPr>
          <w:trHeight w:val="288"/>
          <w:jc w:val="center"/>
        </w:trPr>
        <w:tc>
          <w:tcPr>
            <w:tcW w:w="3542" w:type="dxa"/>
            <w:tcBorders>
              <w:top w:val="nil"/>
              <w:left w:val="single" w:sz="4" w:space="0" w:color="auto"/>
              <w:bottom w:val="single" w:sz="4" w:space="0" w:color="auto"/>
              <w:right w:val="nil"/>
            </w:tcBorders>
            <w:shd w:val="clear" w:color="auto" w:fill="EAF1DD" w:themeFill="accent3" w:themeFillTint="33"/>
            <w:noWrap/>
            <w:vAlign w:val="center"/>
            <w:hideMark/>
          </w:tcPr>
          <w:p w:rsidR="00EA1825" w:rsidRPr="00EA1825" w:rsidRDefault="00EA1825" w:rsidP="00EA1825">
            <w:pPr>
              <w:spacing w:after="0" w:line="240" w:lineRule="auto"/>
              <w:jc w:val="center"/>
              <w:rPr>
                <w:rFonts w:ascii="Arial" w:eastAsia="Times New Roman" w:hAnsi="Arial" w:cs="Arial"/>
                <w:b/>
                <w:bCs/>
                <w:color w:val="000000"/>
                <w:lang w:eastAsia="en-GB"/>
              </w:rPr>
            </w:pPr>
            <w:r w:rsidRPr="00EA1825">
              <w:rPr>
                <w:rFonts w:ascii="Arial" w:eastAsia="Times New Roman" w:hAnsi="Arial" w:cs="Arial"/>
                <w:b/>
                <w:bCs/>
                <w:color w:val="000000"/>
                <w:lang w:eastAsia="en-GB"/>
              </w:rPr>
              <w:t>OF MEN</w:t>
            </w:r>
          </w:p>
        </w:tc>
        <w:tc>
          <w:tcPr>
            <w:tcW w:w="5058" w:type="dxa"/>
            <w:tcBorders>
              <w:top w:val="nil"/>
              <w:left w:val="nil"/>
              <w:bottom w:val="single" w:sz="4" w:space="0" w:color="auto"/>
              <w:right w:val="single" w:sz="4" w:space="0" w:color="auto"/>
            </w:tcBorders>
            <w:shd w:val="clear" w:color="auto" w:fill="EAF1DD" w:themeFill="accent3" w:themeFillTint="33"/>
            <w:noWrap/>
            <w:vAlign w:val="center"/>
            <w:hideMark/>
          </w:tcPr>
          <w:p w:rsidR="00EA1825" w:rsidRPr="00EA1825" w:rsidRDefault="00EA1825" w:rsidP="00EA1825">
            <w:pPr>
              <w:spacing w:after="0" w:line="240" w:lineRule="auto"/>
              <w:jc w:val="center"/>
              <w:rPr>
                <w:rFonts w:ascii="Arial" w:eastAsia="Times New Roman" w:hAnsi="Arial" w:cs="Arial"/>
                <w:b/>
                <w:bCs/>
                <w:color w:val="000000"/>
                <w:lang w:eastAsia="en-GB"/>
              </w:rPr>
            </w:pPr>
            <w:r w:rsidRPr="00EA1825">
              <w:rPr>
                <w:rFonts w:ascii="Arial" w:eastAsia="Times New Roman" w:hAnsi="Arial" w:cs="Arial"/>
                <w:b/>
                <w:bCs/>
                <w:color w:val="000000"/>
                <w:lang w:eastAsia="en-GB"/>
              </w:rPr>
              <w:t>OF WOMEN</w:t>
            </w:r>
          </w:p>
        </w:tc>
      </w:tr>
    </w:tbl>
    <w:p w:rsidR="002B30B5" w:rsidRDefault="002B30B5" w:rsidP="003130E1">
      <w:pPr>
        <w:pStyle w:val="Default"/>
        <w:rPr>
          <w:sz w:val="22"/>
          <w:szCs w:val="22"/>
        </w:rPr>
      </w:pPr>
    </w:p>
    <w:p w:rsidR="007F25D5" w:rsidRPr="003130E1" w:rsidRDefault="007F25D5" w:rsidP="003130E1">
      <w:pPr>
        <w:pStyle w:val="Default"/>
        <w:ind w:left="426"/>
        <w:rPr>
          <w:b/>
          <w:bCs/>
          <w:sz w:val="22"/>
          <w:szCs w:val="22"/>
        </w:rPr>
      </w:pPr>
    </w:p>
    <w:p w:rsidR="003130E1" w:rsidRPr="00441491" w:rsidRDefault="003130E1" w:rsidP="003130E1">
      <w:pPr>
        <w:pStyle w:val="Default"/>
        <w:numPr>
          <w:ilvl w:val="0"/>
          <w:numId w:val="18"/>
        </w:numPr>
        <w:ind w:left="426"/>
        <w:rPr>
          <w:b/>
          <w:bCs/>
          <w:sz w:val="28"/>
          <w:szCs w:val="28"/>
        </w:rPr>
      </w:pPr>
      <w:r w:rsidRPr="00441491">
        <w:rPr>
          <w:b/>
          <w:bCs/>
          <w:sz w:val="28"/>
          <w:szCs w:val="28"/>
        </w:rPr>
        <w:t xml:space="preserve">Detailed reporting analysis </w:t>
      </w:r>
      <w:r w:rsidR="00191D78" w:rsidRPr="00441491">
        <w:rPr>
          <w:b/>
          <w:bCs/>
          <w:sz w:val="28"/>
          <w:szCs w:val="28"/>
        </w:rPr>
        <w:t>– QVH details</w:t>
      </w:r>
    </w:p>
    <w:p w:rsidR="003130E1" w:rsidRDefault="003130E1" w:rsidP="003130E1">
      <w:pPr>
        <w:pStyle w:val="Default"/>
        <w:rPr>
          <w:b/>
          <w:bCs/>
          <w:sz w:val="22"/>
          <w:szCs w:val="22"/>
        </w:rPr>
      </w:pPr>
    </w:p>
    <w:p w:rsidR="007716A9" w:rsidRPr="00492632" w:rsidRDefault="007716A9" w:rsidP="00D1181B">
      <w:pPr>
        <w:pStyle w:val="Default"/>
        <w:numPr>
          <w:ilvl w:val="1"/>
          <w:numId w:val="18"/>
        </w:numPr>
        <w:ind w:left="709" w:hanging="425"/>
        <w:rPr>
          <w:b/>
          <w:bCs/>
          <w:i/>
          <w:sz w:val="26"/>
          <w:szCs w:val="26"/>
        </w:rPr>
      </w:pPr>
      <w:r w:rsidRPr="00492632">
        <w:rPr>
          <w:b/>
          <w:bCs/>
          <w:i/>
          <w:sz w:val="26"/>
          <w:szCs w:val="26"/>
        </w:rPr>
        <w:t>Average gender pay gap as mean and median averages</w:t>
      </w:r>
    </w:p>
    <w:p w:rsidR="007716A9" w:rsidRPr="00250203" w:rsidRDefault="007716A9" w:rsidP="00250203">
      <w:pPr>
        <w:pStyle w:val="Default"/>
        <w:rPr>
          <w:sz w:val="12"/>
          <w:szCs w:val="12"/>
        </w:rPr>
      </w:pPr>
    </w:p>
    <w:p w:rsidR="00EB0379" w:rsidRDefault="00EB0379" w:rsidP="00EB0379">
      <w:pPr>
        <w:pStyle w:val="Default"/>
        <w:spacing w:after="30"/>
        <w:ind w:firstLine="720"/>
        <w:rPr>
          <w:b/>
          <w:i/>
          <w:sz w:val="22"/>
          <w:szCs w:val="22"/>
        </w:rPr>
      </w:pPr>
      <w:r>
        <w:rPr>
          <w:b/>
          <w:i/>
          <w:sz w:val="22"/>
          <w:szCs w:val="22"/>
        </w:rPr>
        <w:t>Table 1</w:t>
      </w:r>
    </w:p>
    <w:p w:rsidR="00241692" w:rsidRPr="000F7A6F" w:rsidRDefault="00241692" w:rsidP="00EB0379">
      <w:pPr>
        <w:pStyle w:val="Default"/>
        <w:spacing w:after="30"/>
        <w:ind w:firstLine="720"/>
        <w:rPr>
          <w:b/>
          <w:i/>
          <w:sz w:val="22"/>
          <w:szCs w:val="22"/>
        </w:rPr>
      </w:pPr>
    </w:p>
    <w:p w:rsidR="007716A9" w:rsidRDefault="00D1181B" w:rsidP="00D1181B">
      <w:pPr>
        <w:pStyle w:val="Default"/>
        <w:jc w:val="center"/>
        <w:rPr>
          <w:sz w:val="22"/>
          <w:szCs w:val="22"/>
        </w:rPr>
      </w:pPr>
      <w:r>
        <w:rPr>
          <w:sz w:val="22"/>
          <w:szCs w:val="22"/>
        </w:rPr>
        <w:object w:dxaOrig="3920" w:dyaOrig="10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0.3pt;height:98.55pt" o:ole="">
            <v:imagedata r:id="rId10" o:title=""/>
          </v:shape>
          <o:OLEObject Type="Embed" ProgID="Excel.Sheet.12" ShapeID="_x0000_i1025" DrawAspect="Content" ObjectID="_1615359576" r:id="rId11"/>
        </w:object>
      </w:r>
    </w:p>
    <w:p w:rsidR="00D1181B" w:rsidRDefault="00D1181B" w:rsidP="007716A9">
      <w:pPr>
        <w:pStyle w:val="Default"/>
        <w:rPr>
          <w:sz w:val="22"/>
          <w:szCs w:val="22"/>
        </w:rPr>
      </w:pPr>
    </w:p>
    <w:p w:rsidR="004E21C0" w:rsidRDefault="00EB0379" w:rsidP="00EB0379">
      <w:pPr>
        <w:pStyle w:val="Default"/>
        <w:ind w:firstLine="720"/>
        <w:rPr>
          <w:b/>
          <w:i/>
          <w:sz w:val="22"/>
          <w:szCs w:val="22"/>
        </w:rPr>
      </w:pPr>
      <w:r>
        <w:rPr>
          <w:b/>
          <w:i/>
          <w:sz w:val="22"/>
          <w:szCs w:val="22"/>
        </w:rPr>
        <w:t>Table 2</w:t>
      </w:r>
    </w:p>
    <w:p w:rsidR="00241692" w:rsidRDefault="00241692" w:rsidP="00EB0379">
      <w:pPr>
        <w:pStyle w:val="Default"/>
        <w:ind w:firstLine="720"/>
        <w:rPr>
          <w:sz w:val="22"/>
          <w:szCs w:val="22"/>
        </w:rPr>
      </w:pPr>
    </w:p>
    <w:p w:rsidR="00D1181B" w:rsidRDefault="00D1181B" w:rsidP="00D1181B">
      <w:pPr>
        <w:pStyle w:val="Default"/>
        <w:ind w:left="709"/>
        <w:rPr>
          <w:b/>
          <w:bCs/>
          <w:sz w:val="22"/>
          <w:szCs w:val="22"/>
        </w:rPr>
      </w:pPr>
      <w:r>
        <w:rPr>
          <w:b/>
          <w:bCs/>
          <w:sz w:val="22"/>
          <w:szCs w:val="22"/>
        </w:rPr>
        <w:object w:dxaOrig="5572" w:dyaOrig="1585">
          <v:shape id="_x0000_i1026" type="#_x0000_t75" style="width:414.85pt;height:126pt" o:ole="">
            <v:imagedata r:id="rId12" o:title=""/>
          </v:shape>
          <o:OLEObject Type="Embed" ProgID="Excel.Sheet.12" ShapeID="_x0000_i1026" DrawAspect="Content" ObjectID="_1615359577" r:id="rId13"/>
        </w:object>
      </w:r>
    </w:p>
    <w:p w:rsidR="00D1181B" w:rsidRDefault="00D1181B" w:rsidP="00BB3EA6">
      <w:pPr>
        <w:pStyle w:val="Default"/>
        <w:rPr>
          <w:b/>
          <w:bCs/>
          <w:sz w:val="22"/>
          <w:szCs w:val="22"/>
        </w:rPr>
      </w:pPr>
    </w:p>
    <w:p w:rsidR="00EB0379" w:rsidRDefault="00EB0379" w:rsidP="00EB0379">
      <w:pPr>
        <w:pStyle w:val="Default"/>
        <w:ind w:firstLine="720"/>
        <w:rPr>
          <w:b/>
          <w:i/>
          <w:sz w:val="22"/>
          <w:szCs w:val="22"/>
        </w:rPr>
      </w:pPr>
      <w:r>
        <w:rPr>
          <w:b/>
          <w:i/>
          <w:sz w:val="22"/>
          <w:szCs w:val="22"/>
        </w:rPr>
        <w:t>Table 3</w:t>
      </w:r>
    </w:p>
    <w:p w:rsidR="00D1181B" w:rsidRDefault="00D1181B" w:rsidP="00BB3EA6">
      <w:pPr>
        <w:pStyle w:val="Default"/>
        <w:jc w:val="center"/>
        <w:rPr>
          <w:b/>
          <w:bCs/>
          <w:sz w:val="22"/>
          <w:szCs w:val="22"/>
        </w:rPr>
      </w:pPr>
      <w:r>
        <w:rPr>
          <w:noProof/>
          <w:lang w:eastAsia="en-GB"/>
        </w:rPr>
        <w:object w:dxaOrig="5572" w:dyaOrig="2392">
          <v:shape id="_x0000_i1027" type="#_x0000_t75" style="width:408.85pt;height:176.55pt" o:ole="">
            <v:imagedata r:id="rId14" o:title=""/>
          </v:shape>
          <o:OLEObject Type="Embed" ProgID="Excel.Sheet.12" ShapeID="_x0000_i1027" DrawAspect="Content" ObjectID="_1615359578" r:id="rId15"/>
        </w:object>
      </w:r>
    </w:p>
    <w:p w:rsidR="00BB3EA6" w:rsidRDefault="00BB3EA6" w:rsidP="00BB3EA6">
      <w:pPr>
        <w:pStyle w:val="Default"/>
        <w:rPr>
          <w:b/>
          <w:bCs/>
          <w:sz w:val="22"/>
          <w:szCs w:val="22"/>
        </w:rPr>
      </w:pPr>
    </w:p>
    <w:p w:rsidR="0077043A" w:rsidRPr="0077043A" w:rsidRDefault="0077043A" w:rsidP="0077043A">
      <w:pPr>
        <w:pStyle w:val="Default"/>
        <w:numPr>
          <w:ilvl w:val="1"/>
          <w:numId w:val="18"/>
        </w:numPr>
        <w:ind w:left="709"/>
        <w:rPr>
          <w:b/>
          <w:bCs/>
          <w:i/>
          <w:sz w:val="26"/>
          <w:szCs w:val="26"/>
        </w:rPr>
      </w:pPr>
      <w:r w:rsidRPr="0077043A">
        <w:rPr>
          <w:b/>
          <w:bCs/>
          <w:i/>
          <w:sz w:val="26"/>
          <w:szCs w:val="26"/>
        </w:rPr>
        <w:lastRenderedPageBreak/>
        <w:t>Proportion of males and females when divided into four groups ordered from lowest to highest pay</w:t>
      </w:r>
    </w:p>
    <w:p w:rsidR="0077043A" w:rsidRDefault="0077043A" w:rsidP="0077043A">
      <w:pPr>
        <w:pStyle w:val="Default"/>
        <w:rPr>
          <w:sz w:val="12"/>
          <w:szCs w:val="12"/>
        </w:rPr>
      </w:pPr>
    </w:p>
    <w:p w:rsidR="00241692" w:rsidRPr="00250203" w:rsidRDefault="00241692" w:rsidP="0077043A">
      <w:pPr>
        <w:pStyle w:val="Default"/>
        <w:rPr>
          <w:sz w:val="12"/>
          <w:szCs w:val="12"/>
        </w:rPr>
      </w:pPr>
    </w:p>
    <w:p w:rsidR="0077043A" w:rsidRDefault="00D1181B" w:rsidP="00D1181B">
      <w:pPr>
        <w:pStyle w:val="Default"/>
        <w:jc w:val="center"/>
        <w:rPr>
          <w:b/>
          <w:bCs/>
          <w:sz w:val="22"/>
          <w:szCs w:val="22"/>
        </w:rPr>
      </w:pPr>
      <w:r>
        <w:rPr>
          <w:b/>
          <w:bCs/>
          <w:sz w:val="22"/>
          <w:szCs w:val="22"/>
        </w:rPr>
        <w:object w:dxaOrig="2978" w:dyaOrig="1028">
          <v:shape id="_x0000_i1028" type="#_x0000_t75" style="width:272.55pt;height:94.3pt" o:ole="">
            <v:imagedata r:id="rId16" o:title=""/>
          </v:shape>
          <o:OLEObject Type="Embed" ProgID="Excel.Sheet.12" ShapeID="_x0000_i1028" DrawAspect="Content" ObjectID="_1615359579" r:id="rId17"/>
        </w:object>
      </w:r>
    </w:p>
    <w:p w:rsidR="00241692" w:rsidRDefault="00241692" w:rsidP="00241692">
      <w:pPr>
        <w:pStyle w:val="Default"/>
        <w:ind w:left="709"/>
        <w:rPr>
          <w:b/>
          <w:bCs/>
          <w:i/>
          <w:sz w:val="26"/>
          <w:szCs w:val="26"/>
        </w:rPr>
      </w:pPr>
    </w:p>
    <w:p w:rsidR="007716A9" w:rsidRPr="00492632" w:rsidRDefault="007716A9" w:rsidP="0077043A">
      <w:pPr>
        <w:pStyle w:val="Default"/>
        <w:numPr>
          <w:ilvl w:val="1"/>
          <w:numId w:val="18"/>
        </w:numPr>
        <w:ind w:left="709"/>
        <w:rPr>
          <w:b/>
          <w:bCs/>
          <w:i/>
          <w:sz w:val="26"/>
          <w:szCs w:val="26"/>
        </w:rPr>
      </w:pPr>
      <w:r w:rsidRPr="00492632">
        <w:rPr>
          <w:b/>
          <w:bCs/>
          <w:i/>
          <w:sz w:val="26"/>
          <w:szCs w:val="26"/>
        </w:rPr>
        <w:t xml:space="preserve">Average bonus gender pay gap as mean and median averages </w:t>
      </w:r>
    </w:p>
    <w:p w:rsidR="007716A9" w:rsidRPr="00250203" w:rsidRDefault="007716A9" w:rsidP="007716A9">
      <w:pPr>
        <w:pStyle w:val="Default"/>
        <w:rPr>
          <w:sz w:val="12"/>
          <w:szCs w:val="12"/>
        </w:rPr>
      </w:pPr>
    </w:p>
    <w:p w:rsidR="007716A9" w:rsidRDefault="00D1181B" w:rsidP="00D1181B">
      <w:pPr>
        <w:pStyle w:val="Default"/>
        <w:jc w:val="center"/>
        <w:rPr>
          <w:sz w:val="22"/>
          <w:szCs w:val="22"/>
        </w:rPr>
      </w:pPr>
      <w:r>
        <w:rPr>
          <w:sz w:val="22"/>
          <w:szCs w:val="22"/>
        </w:rPr>
        <w:object w:dxaOrig="3257" w:dyaOrig="942">
          <v:shape id="_x0000_i1029" type="#_x0000_t75" style="width:312pt;height:90pt" o:ole="">
            <v:imagedata r:id="rId18" o:title=""/>
          </v:shape>
          <o:OLEObject Type="Embed" ProgID="Excel.Sheet.12" ShapeID="_x0000_i1029" DrawAspect="Content" ObjectID="_1615359580" r:id="rId19"/>
        </w:object>
      </w:r>
    </w:p>
    <w:p w:rsidR="00547811" w:rsidRDefault="00547811" w:rsidP="007716A9">
      <w:pPr>
        <w:pStyle w:val="Default"/>
        <w:rPr>
          <w:sz w:val="22"/>
          <w:szCs w:val="22"/>
        </w:rPr>
      </w:pPr>
    </w:p>
    <w:p w:rsidR="007716A9" w:rsidRPr="0077043A" w:rsidRDefault="007716A9" w:rsidP="0077043A">
      <w:pPr>
        <w:pStyle w:val="Default"/>
        <w:numPr>
          <w:ilvl w:val="1"/>
          <w:numId w:val="18"/>
        </w:numPr>
        <w:ind w:left="709"/>
        <w:rPr>
          <w:b/>
          <w:bCs/>
          <w:i/>
          <w:sz w:val="26"/>
          <w:szCs w:val="26"/>
        </w:rPr>
      </w:pPr>
      <w:r w:rsidRPr="0077043A">
        <w:rPr>
          <w:b/>
          <w:bCs/>
          <w:i/>
          <w:sz w:val="26"/>
          <w:szCs w:val="26"/>
        </w:rPr>
        <w:t xml:space="preserve">Proportion of </w:t>
      </w:r>
      <w:r w:rsidR="00A97CB0">
        <w:rPr>
          <w:b/>
          <w:bCs/>
          <w:i/>
          <w:sz w:val="26"/>
          <w:szCs w:val="26"/>
        </w:rPr>
        <w:t xml:space="preserve">eligible </w:t>
      </w:r>
      <w:r w:rsidRPr="0077043A">
        <w:rPr>
          <w:b/>
          <w:bCs/>
          <w:i/>
          <w:sz w:val="26"/>
          <w:szCs w:val="26"/>
        </w:rPr>
        <w:t xml:space="preserve">males </w:t>
      </w:r>
      <w:r w:rsidR="00A97CB0">
        <w:rPr>
          <w:b/>
          <w:bCs/>
          <w:i/>
          <w:sz w:val="26"/>
          <w:szCs w:val="26"/>
        </w:rPr>
        <w:t xml:space="preserve">and </w:t>
      </w:r>
      <w:r w:rsidRPr="0077043A">
        <w:rPr>
          <w:b/>
          <w:bCs/>
          <w:i/>
          <w:sz w:val="26"/>
          <w:szCs w:val="26"/>
        </w:rPr>
        <w:t xml:space="preserve">females receiving a bonus payment </w:t>
      </w:r>
    </w:p>
    <w:p w:rsidR="007716A9" w:rsidRPr="00D976D2" w:rsidRDefault="007716A9" w:rsidP="007716A9">
      <w:pPr>
        <w:pStyle w:val="Default"/>
        <w:rPr>
          <w:sz w:val="22"/>
          <w:szCs w:val="22"/>
        </w:rPr>
      </w:pPr>
    </w:p>
    <w:p w:rsidR="007716A9" w:rsidRPr="00D976D2" w:rsidRDefault="00441491" w:rsidP="00441491">
      <w:pPr>
        <w:pStyle w:val="Default"/>
        <w:jc w:val="center"/>
        <w:rPr>
          <w:sz w:val="22"/>
          <w:szCs w:val="22"/>
        </w:rPr>
      </w:pPr>
      <w:r>
        <w:rPr>
          <w:sz w:val="22"/>
          <w:szCs w:val="22"/>
        </w:rPr>
        <w:object w:dxaOrig="4256" w:dyaOrig="845">
          <v:shape id="_x0000_i1030" type="#_x0000_t75" style="width:376.3pt;height:74.55pt" o:ole="">
            <v:imagedata r:id="rId20" o:title=""/>
          </v:shape>
          <o:OLEObject Type="Embed" ProgID="Excel.Sheet.12" ShapeID="_x0000_i1030" DrawAspect="Content" ObjectID="_1615359581" r:id="rId21"/>
        </w:object>
      </w:r>
    </w:p>
    <w:p w:rsidR="004B0F9C" w:rsidRDefault="004B0F9C" w:rsidP="003130E1">
      <w:pPr>
        <w:pStyle w:val="Default"/>
        <w:rPr>
          <w:b/>
          <w:bCs/>
          <w:sz w:val="22"/>
          <w:szCs w:val="22"/>
        </w:rPr>
      </w:pPr>
    </w:p>
    <w:p w:rsidR="003130E1" w:rsidRPr="00FC4EC1" w:rsidRDefault="003130E1" w:rsidP="003130E1">
      <w:pPr>
        <w:pStyle w:val="Default"/>
        <w:numPr>
          <w:ilvl w:val="0"/>
          <w:numId w:val="18"/>
        </w:numPr>
        <w:ind w:left="426"/>
        <w:rPr>
          <w:b/>
          <w:bCs/>
          <w:sz w:val="28"/>
          <w:szCs w:val="28"/>
        </w:rPr>
      </w:pPr>
      <w:r w:rsidRPr="00FC4EC1">
        <w:rPr>
          <w:b/>
          <w:bCs/>
          <w:sz w:val="28"/>
          <w:szCs w:val="28"/>
        </w:rPr>
        <w:t xml:space="preserve">Narrative </w:t>
      </w:r>
    </w:p>
    <w:p w:rsidR="003130E1" w:rsidRDefault="003130E1" w:rsidP="003130E1">
      <w:pPr>
        <w:pStyle w:val="Default"/>
        <w:rPr>
          <w:bCs/>
          <w:sz w:val="22"/>
          <w:szCs w:val="22"/>
        </w:rPr>
      </w:pPr>
    </w:p>
    <w:p w:rsidR="0012752B" w:rsidRPr="00492632" w:rsidRDefault="0012752B" w:rsidP="0012752B">
      <w:pPr>
        <w:pStyle w:val="Default"/>
        <w:numPr>
          <w:ilvl w:val="1"/>
          <w:numId w:val="18"/>
        </w:numPr>
        <w:ind w:left="709"/>
        <w:rPr>
          <w:b/>
          <w:bCs/>
          <w:i/>
          <w:sz w:val="26"/>
          <w:szCs w:val="26"/>
        </w:rPr>
      </w:pPr>
      <w:r>
        <w:rPr>
          <w:b/>
          <w:bCs/>
          <w:i/>
          <w:sz w:val="26"/>
          <w:szCs w:val="26"/>
        </w:rPr>
        <w:t>Mean vs. median a</w:t>
      </w:r>
      <w:r w:rsidRPr="00492632">
        <w:rPr>
          <w:b/>
          <w:bCs/>
          <w:i/>
          <w:sz w:val="26"/>
          <w:szCs w:val="26"/>
        </w:rPr>
        <w:t>verage</w:t>
      </w:r>
      <w:r>
        <w:rPr>
          <w:b/>
          <w:bCs/>
          <w:i/>
          <w:sz w:val="26"/>
          <w:szCs w:val="26"/>
        </w:rPr>
        <w:t>s</w:t>
      </w:r>
      <w:r w:rsidRPr="00492632">
        <w:rPr>
          <w:b/>
          <w:bCs/>
          <w:i/>
          <w:sz w:val="26"/>
          <w:szCs w:val="26"/>
        </w:rPr>
        <w:t xml:space="preserve"> </w:t>
      </w:r>
    </w:p>
    <w:p w:rsidR="0012752B" w:rsidRPr="0012752B" w:rsidRDefault="0012752B" w:rsidP="003130E1">
      <w:pPr>
        <w:pStyle w:val="Default"/>
        <w:rPr>
          <w:b/>
          <w:bCs/>
          <w:sz w:val="22"/>
          <w:szCs w:val="22"/>
        </w:rPr>
      </w:pPr>
    </w:p>
    <w:p w:rsidR="00C92408" w:rsidRPr="00495173" w:rsidRDefault="009941A7" w:rsidP="003130E1">
      <w:pPr>
        <w:pStyle w:val="Default"/>
        <w:rPr>
          <w:bCs/>
        </w:rPr>
      </w:pPr>
      <w:r w:rsidRPr="00495173">
        <w:rPr>
          <w:bCs/>
        </w:rPr>
        <w:t>QVH is</w:t>
      </w:r>
      <w:r w:rsidR="00C92408" w:rsidRPr="00495173">
        <w:rPr>
          <w:bCs/>
        </w:rPr>
        <w:t xml:space="preserve"> broadly</w:t>
      </w:r>
      <w:r w:rsidRPr="00495173">
        <w:rPr>
          <w:bCs/>
        </w:rPr>
        <w:t xml:space="preserve"> comparable to </w:t>
      </w:r>
      <w:r w:rsidR="00191D78" w:rsidRPr="00495173">
        <w:rPr>
          <w:bCs/>
        </w:rPr>
        <w:t xml:space="preserve">all other </w:t>
      </w:r>
      <w:r w:rsidR="005010BF" w:rsidRPr="00495173">
        <w:rPr>
          <w:bCs/>
        </w:rPr>
        <w:t>NHS</w:t>
      </w:r>
      <w:r w:rsidR="00191D78" w:rsidRPr="00495173">
        <w:rPr>
          <w:bCs/>
        </w:rPr>
        <w:t xml:space="preserve"> Acute hospitals</w:t>
      </w:r>
      <w:r w:rsidR="00684A42" w:rsidRPr="00495173">
        <w:rPr>
          <w:bCs/>
        </w:rPr>
        <w:t xml:space="preserve"> who have published their reports</w:t>
      </w:r>
      <w:r w:rsidR="00191D78" w:rsidRPr="00495173">
        <w:rPr>
          <w:bCs/>
        </w:rPr>
        <w:t xml:space="preserve"> </w:t>
      </w:r>
      <w:r w:rsidR="00C92408" w:rsidRPr="00495173">
        <w:rPr>
          <w:bCs/>
        </w:rPr>
        <w:t xml:space="preserve">(see Appendix 1).  </w:t>
      </w:r>
      <w:r w:rsidR="0082278B" w:rsidRPr="00495173">
        <w:rPr>
          <w:bCs/>
        </w:rPr>
        <w:t>Both t</w:t>
      </w:r>
      <w:r w:rsidR="00C92408" w:rsidRPr="00495173">
        <w:rPr>
          <w:bCs/>
        </w:rPr>
        <w:t xml:space="preserve">he mean and median hourly pay gap percentages for the sector are significantly affected by the </w:t>
      </w:r>
      <w:r w:rsidR="0082278B" w:rsidRPr="00495173">
        <w:rPr>
          <w:bCs/>
        </w:rPr>
        <w:t xml:space="preserve">presence of the </w:t>
      </w:r>
      <w:r w:rsidR="00C92408" w:rsidRPr="00495173">
        <w:rPr>
          <w:bCs/>
        </w:rPr>
        <w:t xml:space="preserve">Medical Consultant body due to </w:t>
      </w:r>
      <w:r w:rsidR="00377043" w:rsidRPr="00495173">
        <w:rPr>
          <w:bCs/>
        </w:rPr>
        <w:t xml:space="preserve">both </w:t>
      </w:r>
      <w:r w:rsidR="00C92408" w:rsidRPr="00495173">
        <w:rPr>
          <w:bCs/>
        </w:rPr>
        <w:t>the</w:t>
      </w:r>
      <w:r w:rsidR="0082278B" w:rsidRPr="00495173">
        <w:rPr>
          <w:bCs/>
        </w:rPr>
        <w:t>ir</w:t>
      </w:r>
      <w:r w:rsidR="00C92408" w:rsidRPr="00495173">
        <w:rPr>
          <w:bCs/>
        </w:rPr>
        <w:t xml:space="preserve"> high base wage</w:t>
      </w:r>
      <w:r w:rsidR="00377043" w:rsidRPr="00495173">
        <w:rPr>
          <w:bCs/>
        </w:rPr>
        <w:t xml:space="preserve"> and </w:t>
      </w:r>
      <w:r w:rsidR="0082278B" w:rsidRPr="00495173">
        <w:rPr>
          <w:bCs/>
        </w:rPr>
        <w:t>the Clinical Excellence Awards bonus scheme</w:t>
      </w:r>
      <w:r w:rsidR="00377043" w:rsidRPr="00495173">
        <w:rPr>
          <w:bCs/>
        </w:rPr>
        <w:t xml:space="preserve"> (that follows </w:t>
      </w:r>
      <w:r w:rsidR="00ED31B6" w:rsidRPr="00495173">
        <w:rPr>
          <w:bCs/>
        </w:rPr>
        <w:t xml:space="preserve">national </w:t>
      </w:r>
      <w:r w:rsidR="00377043" w:rsidRPr="00495173">
        <w:rPr>
          <w:bCs/>
        </w:rPr>
        <w:t>guidelines)</w:t>
      </w:r>
      <w:r w:rsidR="00C92408" w:rsidRPr="00495173">
        <w:rPr>
          <w:bCs/>
        </w:rPr>
        <w:t xml:space="preserve">.  </w:t>
      </w:r>
    </w:p>
    <w:p w:rsidR="00C92408" w:rsidRPr="00495173" w:rsidRDefault="00C92408" w:rsidP="003130E1">
      <w:pPr>
        <w:pStyle w:val="Default"/>
        <w:rPr>
          <w:bCs/>
        </w:rPr>
      </w:pPr>
    </w:p>
    <w:p w:rsidR="00ED31B6" w:rsidRPr="00495173" w:rsidRDefault="00ED31B6" w:rsidP="00ED31B6">
      <w:pPr>
        <w:pStyle w:val="Default"/>
        <w:rPr>
          <w:bCs/>
        </w:rPr>
      </w:pPr>
      <w:r w:rsidRPr="00495173">
        <w:rPr>
          <w:bCs/>
        </w:rPr>
        <w:t xml:space="preserve">As the </w:t>
      </w:r>
      <w:r w:rsidR="00ED348C" w:rsidRPr="00495173">
        <w:rPr>
          <w:bCs/>
        </w:rPr>
        <w:t xml:space="preserve">second </w:t>
      </w:r>
      <w:r w:rsidRPr="00495173">
        <w:rPr>
          <w:bCs/>
        </w:rPr>
        <w:t xml:space="preserve">smallest NHS Foundation Trust in England, we comparatively </w:t>
      </w:r>
      <w:r w:rsidR="004978E2" w:rsidRPr="00495173">
        <w:rPr>
          <w:bCs/>
        </w:rPr>
        <w:t xml:space="preserve">have a </w:t>
      </w:r>
      <w:r w:rsidRPr="00495173">
        <w:rPr>
          <w:bCs/>
        </w:rPr>
        <w:t>very small denominator of staff and the specialist nature of the work undertaken at QVH means the Medical Consultant body form</w:t>
      </w:r>
      <w:r w:rsidR="00377043" w:rsidRPr="00495173">
        <w:rPr>
          <w:bCs/>
        </w:rPr>
        <w:t>s</w:t>
      </w:r>
      <w:r w:rsidRPr="00495173">
        <w:rPr>
          <w:bCs/>
        </w:rPr>
        <w:t xml:space="preserve"> a much higher proportion of our overall workforce.  This means that the median pay gap percentages are much affected by this </w:t>
      </w:r>
      <w:r w:rsidR="001E5A18" w:rsidRPr="00495173">
        <w:rPr>
          <w:bCs/>
        </w:rPr>
        <w:t xml:space="preserve">staff </w:t>
      </w:r>
      <w:r w:rsidRPr="00495173">
        <w:rPr>
          <w:bCs/>
        </w:rPr>
        <w:t>group</w:t>
      </w:r>
      <w:r w:rsidR="004978E2" w:rsidRPr="00495173">
        <w:rPr>
          <w:bCs/>
        </w:rPr>
        <w:t xml:space="preserve">. </w:t>
      </w:r>
      <w:r w:rsidR="001E5A18" w:rsidRPr="00495173">
        <w:rPr>
          <w:bCs/>
        </w:rPr>
        <w:t xml:space="preserve"> </w:t>
      </w:r>
      <w:r w:rsidR="00377043" w:rsidRPr="00495173">
        <w:rPr>
          <w:bCs/>
        </w:rPr>
        <w:t>M</w:t>
      </w:r>
      <w:r w:rsidR="004978E2" w:rsidRPr="00495173">
        <w:rPr>
          <w:bCs/>
        </w:rPr>
        <w:t xml:space="preserve">edian </w:t>
      </w:r>
      <w:r w:rsidR="00684A42" w:rsidRPr="00495173">
        <w:rPr>
          <w:bCs/>
        </w:rPr>
        <w:t>calculations</w:t>
      </w:r>
      <w:r w:rsidR="001E5A18" w:rsidRPr="00495173">
        <w:rPr>
          <w:bCs/>
        </w:rPr>
        <w:t xml:space="preserve"> do</w:t>
      </w:r>
      <w:r w:rsidR="004978E2" w:rsidRPr="00495173">
        <w:rPr>
          <w:bCs/>
        </w:rPr>
        <w:t xml:space="preserve"> not account for a concentration of high earners in such a small hospital</w:t>
      </w:r>
      <w:r w:rsidR="00733287" w:rsidRPr="00495173">
        <w:rPr>
          <w:bCs/>
        </w:rPr>
        <w:t>.  T</w:t>
      </w:r>
      <w:r w:rsidR="001E5A18" w:rsidRPr="00495173">
        <w:rPr>
          <w:bCs/>
        </w:rPr>
        <w:t xml:space="preserve">he </w:t>
      </w:r>
      <w:r w:rsidR="00733287" w:rsidRPr="00495173">
        <w:rPr>
          <w:bCs/>
        </w:rPr>
        <w:t xml:space="preserve">difference between the </w:t>
      </w:r>
      <w:r w:rsidR="001E5A18" w:rsidRPr="00495173">
        <w:rPr>
          <w:bCs/>
        </w:rPr>
        <w:t>nu</w:t>
      </w:r>
      <w:r w:rsidR="00FC4EC1" w:rsidRPr="00495173">
        <w:rPr>
          <w:bCs/>
        </w:rPr>
        <w:t>mber of male Consultants (n = 54</w:t>
      </w:r>
      <w:r w:rsidR="001E5A18" w:rsidRPr="00495173">
        <w:rPr>
          <w:bCs/>
        </w:rPr>
        <w:t xml:space="preserve">) compared to female Consultants (n = </w:t>
      </w:r>
      <w:r w:rsidR="00FC4EC1" w:rsidRPr="00495173">
        <w:rPr>
          <w:bCs/>
        </w:rPr>
        <w:t>18</w:t>
      </w:r>
      <w:r w:rsidR="001E5A18" w:rsidRPr="00495173">
        <w:rPr>
          <w:bCs/>
        </w:rPr>
        <w:t>)</w:t>
      </w:r>
      <w:r w:rsidR="00733287" w:rsidRPr="00495173">
        <w:rPr>
          <w:bCs/>
        </w:rPr>
        <w:t xml:space="preserve"> is considerable</w:t>
      </w:r>
      <w:r w:rsidR="004978E2" w:rsidRPr="00495173">
        <w:rPr>
          <w:bCs/>
        </w:rPr>
        <w:t>. The mean can therefore be seen as more accurately reflecting the gender pay gap due to the higher proportion of men in these highest paid senior positions</w:t>
      </w:r>
      <w:r w:rsidR="000958E9" w:rsidRPr="00495173">
        <w:rPr>
          <w:bCs/>
        </w:rPr>
        <w:t>, as demonstrated in the quartile-based data in Section 5b.</w:t>
      </w:r>
      <w:r w:rsidR="0011015A" w:rsidRPr="00495173">
        <w:rPr>
          <w:bCs/>
        </w:rPr>
        <w:t xml:space="preserve">  </w:t>
      </w:r>
      <w:r w:rsidR="004978E2" w:rsidRPr="00495173">
        <w:rPr>
          <w:rStyle w:val="FootnoteReference"/>
          <w:bCs/>
        </w:rPr>
        <w:footnoteReference w:id="3"/>
      </w:r>
      <w:r w:rsidR="004978E2" w:rsidRPr="00495173">
        <w:rPr>
          <w:bCs/>
        </w:rPr>
        <w:t xml:space="preserve"> </w:t>
      </w:r>
      <w:r w:rsidRPr="00495173">
        <w:rPr>
          <w:bCs/>
        </w:rPr>
        <w:t xml:space="preserve">   </w:t>
      </w:r>
    </w:p>
    <w:p w:rsidR="00B145F4" w:rsidRPr="00495173" w:rsidRDefault="00B145F4" w:rsidP="00ED31B6">
      <w:pPr>
        <w:pStyle w:val="Default"/>
        <w:rPr>
          <w:bCs/>
        </w:rPr>
      </w:pPr>
    </w:p>
    <w:p w:rsidR="005E0391" w:rsidRDefault="00B145F4" w:rsidP="00ED31B6">
      <w:pPr>
        <w:pStyle w:val="Default"/>
        <w:rPr>
          <w:bCs/>
        </w:rPr>
      </w:pPr>
      <w:r w:rsidRPr="00495173">
        <w:rPr>
          <w:bCs/>
        </w:rPr>
        <w:t xml:space="preserve">In a comparison to the 2017 report, it is reassuring to see a reduction in both mean and median pay gaps.  The mean pay-gap has reduced from 37% to 35.9%, and the median pay-gap from 41% to 39.9%.  The distribution across quartiles has also changed to be </w:t>
      </w:r>
    </w:p>
    <w:p w:rsidR="005E0391" w:rsidRDefault="005E0391" w:rsidP="00ED31B6">
      <w:pPr>
        <w:pStyle w:val="Default"/>
        <w:rPr>
          <w:bCs/>
        </w:rPr>
      </w:pPr>
    </w:p>
    <w:p w:rsidR="005E0391" w:rsidRDefault="005E0391" w:rsidP="00ED31B6">
      <w:pPr>
        <w:pStyle w:val="Default"/>
        <w:rPr>
          <w:bCs/>
        </w:rPr>
      </w:pPr>
    </w:p>
    <w:p w:rsidR="005E0391" w:rsidRDefault="005E0391" w:rsidP="00ED31B6">
      <w:pPr>
        <w:pStyle w:val="Default"/>
        <w:rPr>
          <w:bCs/>
        </w:rPr>
      </w:pPr>
    </w:p>
    <w:p w:rsidR="00B145F4" w:rsidRPr="00495173" w:rsidRDefault="00B145F4" w:rsidP="00ED31B6">
      <w:pPr>
        <w:pStyle w:val="Default"/>
        <w:rPr>
          <w:bCs/>
        </w:rPr>
      </w:pPr>
      <w:proofErr w:type="gramStart"/>
      <w:r w:rsidRPr="00495173">
        <w:rPr>
          <w:bCs/>
        </w:rPr>
        <w:t>marginally</w:t>
      </w:r>
      <w:proofErr w:type="gramEnd"/>
      <w:r w:rsidRPr="00495173">
        <w:rPr>
          <w:bCs/>
        </w:rPr>
        <w:t xml:space="preserve"> more representative of the distribution across the whole organisation, with a reduction in males within the top quartile from 46% to 45.2%</w:t>
      </w:r>
      <w:r w:rsidR="00B07392" w:rsidRPr="00495173">
        <w:rPr>
          <w:bCs/>
        </w:rPr>
        <w:t>.</w:t>
      </w:r>
    </w:p>
    <w:p w:rsidR="00DE74BF" w:rsidRPr="00495173" w:rsidRDefault="00DE74BF" w:rsidP="00ED31B6">
      <w:pPr>
        <w:pStyle w:val="Default"/>
        <w:rPr>
          <w:bCs/>
        </w:rPr>
      </w:pPr>
    </w:p>
    <w:p w:rsidR="00733287" w:rsidRPr="00492632" w:rsidRDefault="0012752B" w:rsidP="00733287">
      <w:pPr>
        <w:pStyle w:val="Default"/>
        <w:numPr>
          <w:ilvl w:val="1"/>
          <w:numId w:val="18"/>
        </w:numPr>
        <w:ind w:left="709"/>
        <w:rPr>
          <w:b/>
          <w:bCs/>
          <w:i/>
          <w:sz w:val="26"/>
          <w:szCs w:val="26"/>
        </w:rPr>
      </w:pPr>
      <w:r>
        <w:rPr>
          <w:b/>
          <w:bCs/>
          <w:i/>
          <w:sz w:val="26"/>
          <w:szCs w:val="26"/>
        </w:rPr>
        <w:t xml:space="preserve">Band / grade </w:t>
      </w:r>
      <w:r w:rsidR="00A97CB0">
        <w:rPr>
          <w:b/>
          <w:bCs/>
          <w:i/>
          <w:sz w:val="26"/>
          <w:szCs w:val="26"/>
        </w:rPr>
        <w:t xml:space="preserve">related </w:t>
      </w:r>
      <w:r w:rsidR="00733287">
        <w:rPr>
          <w:b/>
          <w:bCs/>
          <w:i/>
          <w:sz w:val="26"/>
          <w:szCs w:val="26"/>
        </w:rPr>
        <w:t>a</w:t>
      </w:r>
      <w:r w:rsidR="00733287" w:rsidRPr="00492632">
        <w:rPr>
          <w:b/>
          <w:bCs/>
          <w:i/>
          <w:sz w:val="26"/>
          <w:szCs w:val="26"/>
        </w:rPr>
        <w:t>verage gender pay gap</w:t>
      </w:r>
      <w:r w:rsidR="00733287">
        <w:rPr>
          <w:b/>
          <w:bCs/>
          <w:i/>
          <w:sz w:val="26"/>
          <w:szCs w:val="26"/>
        </w:rPr>
        <w:t>s</w:t>
      </w:r>
    </w:p>
    <w:p w:rsidR="0012752B" w:rsidRDefault="0012752B" w:rsidP="00ED31B6">
      <w:pPr>
        <w:pStyle w:val="Default"/>
        <w:rPr>
          <w:bCs/>
          <w:sz w:val="22"/>
          <w:szCs w:val="22"/>
        </w:rPr>
      </w:pPr>
    </w:p>
    <w:p w:rsidR="0012752B" w:rsidRPr="00495173" w:rsidRDefault="0012752B" w:rsidP="00ED31B6">
      <w:pPr>
        <w:pStyle w:val="Default"/>
        <w:rPr>
          <w:bCs/>
        </w:rPr>
      </w:pPr>
      <w:r w:rsidRPr="00495173">
        <w:rPr>
          <w:bCs/>
        </w:rPr>
        <w:t>Taking the mean average as the mo</w:t>
      </w:r>
      <w:r w:rsidR="00FC4EC1" w:rsidRPr="00495173">
        <w:rPr>
          <w:bCs/>
        </w:rPr>
        <w:t>re representative of scores, three main</w:t>
      </w:r>
      <w:r w:rsidRPr="00495173">
        <w:rPr>
          <w:bCs/>
        </w:rPr>
        <w:t xml:space="preserve"> outliers are highlighted</w:t>
      </w:r>
      <w:r w:rsidR="00733287" w:rsidRPr="00495173">
        <w:rPr>
          <w:bCs/>
        </w:rPr>
        <w:t xml:space="preserve"> when looking at bands/grades (Section 5</w:t>
      </w:r>
      <w:r w:rsidR="00BB68BF" w:rsidRPr="00495173">
        <w:rPr>
          <w:bCs/>
        </w:rPr>
        <w:t>a</w:t>
      </w:r>
      <w:r w:rsidR="00FC4EC1" w:rsidRPr="00495173">
        <w:rPr>
          <w:bCs/>
        </w:rPr>
        <w:t>, Table</w:t>
      </w:r>
      <w:r w:rsidR="00733287" w:rsidRPr="00495173">
        <w:rPr>
          <w:bCs/>
        </w:rPr>
        <w:t xml:space="preserve"> 3)</w:t>
      </w:r>
      <w:r w:rsidRPr="00495173">
        <w:rPr>
          <w:bCs/>
        </w:rPr>
        <w:t xml:space="preserve">: </w:t>
      </w:r>
      <w:r w:rsidR="00B145F4" w:rsidRPr="00495173">
        <w:rPr>
          <w:bCs/>
        </w:rPr>
        <w:t xml:space="preserve">the Agenda for Change [AFC] Band 8+ group, </w:t>
      </w:r>
      <w:r w:rsidR="00FC4EC1" w:rsidRPr="00495173">
        <w:rPr>
          <w:bCs/>
        </w:rPr>
        <w:t xml:space="preserve">the Medical: Doctors in Training, </w:t>
      </w:r>
      <w:r w:rsidR="00B145F4" w:rsidRPr="00495173">
        <w:rPr>
          <w:bCs/>
        </w:rPr>
        <w:t>and Medical: Career Doctors group.</w:t>
      </w:r>
      <w:r w:rsidR="00FC4EC1" w:rsidRPr="00495173">
        <w:rPr>
          <w:bCs/>
        </w:rPr>
        <w:t xml:space="preserve"> </w:t>
      </w:r>
    </w:p>
    <w:p w:rsidR="00A97CB0" w:rsidRPr="00495173" w:rsidRDefault="00A97CB0" w:rsidP="00ED31B6">
      <w:pPr>
        <w:pStyle w:val="Default"/>
        <w:rPr>
          <w:bCs/>
        </w:rPr>
      </w:pPr>
    </w:p>
    <w:p w:rsidR="00B145F4" w:rsidRPr="00495173" w:rsidRDefault="00352686" w:rsidP="00ED31B6">
      <w:pPr>
        <w:pStyle w:val="Default"/>
        <w:rPr>
          <w:bCs/>
        </w:rPr>
      </w:pPr>
      <w:r w:rsidRPr="00495173">
        <w:rPr>
          <w:bCs/>
        </w:rPr>
        <w:t>W</w:t>
      </w:r>
      <w:r w:rsidR="001E5A18" w:rsidRPr="00495173">
        <w:rPr>
          <w:bCs/>
        </w:rPr>
        <w:t xml:space="preserve">hen </w:t>
      </w:r>
      <w:r w:rsidR="00B145F4" w:rsidRPr="00495173">
        <w:rPr>
          <w:bCs/>
        </w:rPr>
        <w:t xml:space="preserve">analysing </w:t>
      </w:r>
      <w:r w:rsidR="001E5A18" w:rsidRPr="00495173">
        <w:rPr>
          <w:bCs/>
        </w:rPr>
        <w:t xml:space="preserve">the </w:t>
      </w:r>
      <w:r w:rsidR="00B07392" w:rsidRPr="00495173">
        <w:rPr>
          <w:bCs/>
        </w:rPr>
        <w:t xml:space="preserve">median </w:t>
      </w:r>
      <w:r w:rsidR="001E5A18" w:rsidRPr="00495173">
        <w:rPr>
          <w:bCs/>
        </w:rPr>
        <w:t xml:space="preserve">pay gap </w:t>
      </w:r>
      <w:r w:rsidR="00B145F4" w:rsidRPr="00495173">
        <w:rPr>
          <w:bCs/>
        </w:rPr>
        <w:t xml:space="preserve">within the AFC Band 8+ group, the variance </w:t>
      </w:r>
      <w:r w:rsidR="00B07392" w:rsidRPr="00495173">
        <w:rPr>
          <w:bCs/>
        </w:rPr>
        <w:t>wa</w:t>
      </w:r>
      <w:r w:rsidR="00B145F4" w:rsidRPr="00495173">
        <w:rPr>
          <w:bCs/>
        </w:rPr>
        <w:t xml:space="preserve">s caused by the different proportions of seniority within that group.  </w:t>
      </w:r>
      <w:r w:rsidR="00B07392" w:rsidRPr="00495173">
        <w:rPr>
          <w:bCs/>
        </w:rPr>
        <w:t>Males had</w:t>
      </w:r>
      <w:r w:rsidR="00B145F4" w:rsidRPr="00495173">
        <w:rPr>
          <w:bCs/>
        </w:rPr>
        <w:t xml:space="preserve"> an equal representation of 12 individuals at Bands 8a – 8b and 12 individuals at Bands 8c and above (including Very Senior Manager [VSM] </w:t>
      </w:r>
      <w:proofErr w:type="spellStart"/>
      <w:r w:rsidR="00B145F4" w:rsidRPr="00495173">
        <w:rPr>
          <w:bCs/>
        </w:rPr>
        <w:t>payscales</w:t>
      </w:r>
      <w:proofErr w:type="spellEnd"/>
      <w:r w:rsidR="00B145F4" w:rsidRPr="00495173">
        <w:rPr>
          <w:bCs/>
        </w:rPr>
        <w:t>).</w:t>
      </w:r>
      <w:r w:rsidR="00B07392" w:rsidRPr="00495173">
        <w:rPr>
          <w:bCs/>
        </w:rPr>
        <w:t xml:space="preserve">  However, females had</w:t>
      </w:r>
      <w:r w:rsidR="00B145F4" w:rsidRPr="00495173">
        <w:rPr>
          <w:bCs/>
        </w:rPr>
        <w:t xml:space="preserve"> </w:t>
      </w:r>
      <w:r w:rsidR="00B07392" w:rsidRPr="00495173">
        <w:rPr>
          <w:bCs/>
        </w:rPr>
        <w:t xml:space="preserve">a much greater proportion at the lower scales, with </w:t>
      </w:r>
      <w:r w:rsidR="00B145F4" w:rsidRPr="00495173">
        <w:rPr>
          <w:bCs/>
        </w:rPr>
        <w:t>27 individuals at Bands 8a – 8b, and 12 at Bands 8c and above (including VSM).</w:t>
      </w:r>
    </w:p>
    <w:p w:rsidR="00B07392" w:rsidRPr="00495173" w:rsidRDefault="00B07392" w:rsidP="00ED31B6">
      <w:pPr>
        <w:pStyle w:val="Default"/>
        <w:rPr>
          <w:bCs/>
        </w:rPr>
      </w:pPr>
    </w:p>
    <w:p w:rsidR="00B07392" w:rsidRPr="00495173" w:rsidRDefault="00B07392" w:rsidP="00ED31B6">
      <w:pPr>
        <w:pStyle w:val="Default"/>
        <w:rPr>
          <w:bCs/>
        </w:rPr>
      </w:pPr>
      <w:r w:rsidRPr="00495173">
        <w:rPr>
          <w:bCs/>
        </w:rPr>
        <w:t xml:space="preserve">In the Medical: Doctors in Training group, the pay-gap for females </w:t>
      </w:r>
      <w:r w:rsidR="0081620D" w:rsidRPr="00495173">
        <w:rPr>
          <w:bCs/>
        </w:rPr>
        <w:t xml:space="preserve">(n=28) </w:t>
      </w:r>
      <w:r w:rsidRPr="00495173">
        <w:rPr>
          <w:bCs/>
        </w:rPr>
        <w:t xml:space="preserve">was </w:t>
      </w:r>
      <w:r w:rsidR="0081620D" w:rsidRPr="00495173">
        <w:rPr>
          <w:bCs/>
        </w:rPr>
        <w:t xml:space="preserve">partially </w:t>
      </w:r>
      <w:r w:rsidRPr="00495173">
        <w:rPr>
          <w:bCs/>
        </w:rPr>
        <w:t>distorted by the presence of Dental Core level 1 trainees, which were not apparent within the male group</w:t>
      </w:r>
      <w:r w:rsidR="0081620D" w:rsidRPr="00495173">
        <w:rPr>
          <w:bCs/>
        </w:rPr>
        <w:t xml:space="preserve"> (n=25)</w:t>
      </w:r>
      <w:r w:rsidRPr="00495173">
        <w:rPr>
          <w:bCs/>
        </w:rPr>
        <w:t xml:space="preserve">.  An analysis between the difference of Trust-appointed and Deanery-appointed training level </w:t>
      </w:r>
      <w:proofErr w:type="gramStart"/>
      <w:r w:rsidRPr="00495173">
        <w:rPr>
          <w:bCs/>
        </w:rPr>
        <w:t>doctors</w:t>
      </w:r>
      <w:proofErr w:type="gramEnd"/>
      <w:r w:rsidRPr="00495173">
        <w:rPr>
          <w:bCs/>
        </w:rPr>
        <w:t xml:space="preserve"> reveals no </w:t>
      </w:r>
      <w:r w:rsidR="0081620D" w:rsidRPr="00495173">
        <w:rPr>
          <w:bCs/>
        </w:rPr>
        <w:t>findings.</w:t>
      </w:r>
    </w:p>
    <w:p w:rsidR="00B145F4" w:rsidRPr="00495173" w:rsidRDefault="00B145F4" w:rsidP="00ED31B6">
      <w:pPr>
        <w:pStyle w:val="Default"/>
        <w:rPr>
          <w:bCs/>
        </w:rPr>
      </w:pPr>
    </w:p>
    <w:p w:rsidR="00B145F4" w:rsidRPr="00495173" w:rsidRDefault="0081620D" w:rsidP="00ED31B6">
      <w:pPr>
        <w:pStyle w:val="Default"/>
        <w:rPr>
          <w:bCs/>
        </w:rPr>
      </w:pPr>
      <w:r w:rsidRPr="00495173">
        <w:rPr>
          <w:bCs/>
        </w:rPr>
        <w:t xml:space="preserve">In the Medical: Career Doctors group, the pay-gap is in favour of females.  This is caused by the higher pay terms of the closed Associate Specialist grade, of which 5 out of 6 the Trust has are female, in comparison to the Trust-appointed Fellows as part of the </w:t>
      </w:r>
      <w:r w:rsidR="008509D4">
        <w:rPr>
          <w:bCs/>
        </w:rPr>
        <w:t xml:space="preserve">lower remunerated </w:t>
      </w:r>
      <w:r w:rsidRPr="00495173">
        <w:rPr>
          <w:bCs/>
        </w:rPr>
        <w:t>Specialty Doctor pay-scale.</w:t>
      </w:r>
    </w:p>
    <w:p w:rsidR="0081620D" w:rsidRPr="00495173" w:rsidRDefault="0081620D" w:rsidP="00ED31B6">
      <w:pPr>
        <w:pStyle w:val="Default"/>
        <w:rPr>
          <w:bCs/>
        </w:rPr>
      </w:pPr>
    </w:p>
    <w:p w:rsidR="0012752B" w:rsidRPr="00495173" w:rsidRDefault="0081620D" w:rsidP="00AB2EF8">
      <w:pPr>
        <w:pStyle w:val="Default"/>
        <w:rPr>
          <w:bCs/>
        </w:rPr>
      </w:pPr>
      <w:r w:rsidRPr="00495173">
        <w:rPr>
          <w:bCs/>
        </w:rPr>
        <w:t xml:space="preserve">In comparison to the 2017 report, both the </w:t>
      </w:r>
      <w:r w:rsidR="0045513E" w:rsidRPr="00495173">
        <w:rPr>
          <w:bCs/>
        </w:rPr>
        <w:t xml:space="preserve">mean </w:t>
      </w:r>
      <w:r w:rsidRPr="00495173">
        <w:rPr>
          <w:bCs/>
        </w:rPr>
        <w:t xml:space="preserve">and median </w:t>
      </w:r>
      <w:r w:rsidR="0045513E" w:rsidRPr="00495173">
        <w:rPr>
          <w:bCs/>
        </w:rPr>
        <w:t>average</w:t>
      </w:r>
      <w:r w:rsidRPr="00495173">
        <w:rPr>
          <w:bCs/>
        </w:rPr>
        <w:t xml:space="preserve">s </w:t>
      </w:r>
      <w:r w:rsidR="001E5A18" w:rsidRPr="00495173">
        <w:rPr>
          <w:bCs/>
        </w:rPr>
        <w:t xml:space="preserve">within the </w:t>
      </w:r>
      <w:r w:rsidR="00A73F68" w:rsidRPr="00495173">
        <w:rPr>
          <w:bCs/>
        </w:rPr>
        <w:t xml:space="preserve">Medical Consultant </w:t>
      </w:r>
      <w:r w:rsidR="001E5A18" w:rsidRPr="00495173">
        <w:rPr>
          <w:bCs/>
        </w:rPr>
        <w:t xml:space="preserve">body </w:t>
      </w:r>
      <w:r w:rsidRPr="00495173">
        <w:rPr>
          <w:bCs/>
        </w:rPr>
        <w:t xml:space="preserve">have reduced </w:t>
      </w:r>
      <w:r w:rsidR="00377043" w:rsidRPr="00495173">
        <w:rPr>
          <w:bCs/>
        </w:rPr>
        <w:t>(Section 5</w:t>
      </w:r>
      <w:r w:rsidR="00BB68BF" w:rsidRPr="00495173">
        <w:rPr>
          <w:bCs/>
        </w:rPr>
        <w:t>a</w:t>
      </w:r>
      <w:r w:rsidR="00377043" w:rsidRPr="00495173">
        <w:rPr>
          <w:bCs/>
        </w:rPr>
        <w:t xml:space="preserve">, Table 3) </w:t>
      </w:r>
      <w:r w:rsidRPr="00495173">
        <w:rPr>
          <w:bCs/>
        </w:rPr>
        <w:t xml:space="preserve">from 11.9% to 5.7% mean gap and 7.4% to 5.9% median gap.  </w:t>
      </w:r>
    </w:p>
    <w:p w:rsidR="00BB68BF" w:rsidRDefault="00BB68BF" w:rsidP="00BB68BF">
      <w:pPr>
        <w:pStyle w:val="Default"/>
        <w:ind w:left="709"/>
        <w:rPr>
          <w:b/>
          <w:bCs/>
          <w:i/>
          <w:sz w:val="26"/>
          <w:szCs w:val="26"/>
        </w:rPr>
      </w:pPr>
    </w:p>
    <w:p w:rsidR="000958E9" w:rsidRPr="0011015A" w:rsidRDefault="000958E9" w:rsidP="000958E9">
      <w:pPr>
        <w:pStyle w:val="Default"/>
        <w:numPr>
          <w:ilvl w:val="1"/>
          <w:numId w:val="18"/>
        </w:numPr>
        <w:ind w:left="709"/>
        <w:rPr>
          <w:b/>
          <w:bCs/>
          <w:i/>
          <w:sz w:val="26"/>
          <w:szCs w:val="26"/>
        </w:rPr>
      </w:pPr>
      <w:r w:rsidRPr="0011015A">
        <w:rPr>
          <w:b/>
          <w:bCs/>
          <w:i/>
          <w:sz w:val="26"/>
          <w:szCs w:val="26"/>
        </w:rPr>
        <w:t xml:space="preserve">Average bonus gender pay gap as a median average </w:t>
      </w:r>
    </w:p>
    <w:p w:rsidR="00352686" w:rsidRDefault="00352686" w:rsidP="0045513E">
      <w:pPr>
        <w:pStyle w:val="Default"/>
        <w:spacing w:after="30"/>
        <w:rPr>
          <w:bCs/>
          <w:sz w:val="22"/>
          <w:szCs w:val="22"/>
        </w:rPr>
      </w:pPr>
    </w:p>
    <w:p w:rsidR="00751F30" w:rsidRPr="00495173" w:rsidRDefault="00751F30" w:rsidP="0045513E">
      <w:pPr>
        <w:pStyle w:val="Default"/>
        <w:spacing w:after="30"/>
        <w:rPr>
          <w:bCs/>
        </w:rPr>
      </w:pPr>
      <w:r w:rsidRPr="00495173">
        <w:rPr>
          <w:bCs/>
        </w:rPr>
        <w:t xml:space="preserve">Although the statutory required reporting figure of those receiving a bonus (section 4c) shows 10.1% of males receiving a bonus compared to only 1.1% of females, this is substantially skewed by the predominance of males within the Medical Consultant body and the disproportionate number of males in the rest of the workforce.  When examining the more meaningful proportion of staff actually eligible for a bonus, which within the Trust is only the Medical Consultant body through Clinical Excellence Awards, it is encouraging to see that </w:t>
      </w:r>
      <w:r w:rsidR="00E511B9" w:rsidRPr="00495173">
        <w:rPr>
          <w:bCs/>
        </w:rPr>
        <w:t xml:space="preserve">the Trust continues </w:t>
      </w:r>
      <w:r w:rsidR="00E511B9" w:rsidRPr="00495173">
        <w:t xml:space="preserve">to beat the national trend with more females being awarded bonuses </w:t>
      </w:r>
      <w:r w:rsidRPr="00495173">
        <w:rPr>
          <w:bCs/>
        </w:rPr>
        <w:t>out of total eligible numbers</w:t>
      </w:r>
      <w:r w:rsidR="00E511B9" w:rsidRPr="00495173">
        <w:rPr>
          <w:bCs/>
        </w:rPr>
        <w:t xml:space="preserve">: </w:t>
      </w:r>
      <w:r w:rsidRPr="00495173">
        <w:rPr>
          <w:bCs/>
        </w:rPr>
        <w:t>55.</w:t>
      </w:r>
      <w:r w:rsidR="00E511B9" w:rsidRPr="00495173">
        <w:rPr>
          <w:bCs/>
        </w:rPr>
        <w:t>6% of eligible females received</w:t>
      </w:r>
      <w:r w:rsidRPr="00495173">
        <w:rPr>
          <w:bCs/>
        </w:rPr>
        <w:t xml:space="preserve"> Clinical Excellence Awards </w:t>
      </w:r>
      <w:r w:rsidR="004E1548" w:rsidRPr="00495173">
        <w:rPr>
          <w:bCs/>
        </w:rPr>
        <w:t xml:space="preserve">(CEA) </w:t>
      </w:r>
      <w:r w:rsidRPr="00495173">
        <w:rPr>
          <w:bCs/>
        </w:rPr>
        <w:t xml:space="preserve">compared to 51.9% of eligible males.  </w:t>
      </w:r>
    </w:p>
    <w:p w:rsidR="00751F30" w:rsidRPr="00495173" w:rsidRDefault="00751F30" w:rsidP="0045513E">
      <w:pPr>
        <w:pStyle w:val="Default"/>
        <w:spacing w:after="30"/>
        <w:rPr>
          <w:bCs/>
        </w:rPr>
      </w:pPr>
    </w:p>
    <w:p w:rsidR="00E511B9" w:rsidRPr="00495173" w:rsidRDefault="00751F30" w:rsidP="0045513E">
      <w:pPr>
        <w:pStyle w:val="Default"/>
        <w:spacing w:after="30"/>
        <w:rPr>
          <w:bCs/>
        </w:rPr>
      </w:pPr>
      <w:r w:rsidRPr="00495173">
        <w:rPr>
          <w:bCs/>
        </w:rPr>
        <w:t xml:space="preserve">It is also encouraging to see a significant shift in the mean and median bonus pay rates compared to last year, the mean bonus gap shifting from 18% lower to 13.7% higher and the median bonus gap reducing from 61% lower to 50% lower.  </w:t>
      </w:r>
      <w:r w:rsidR="004E1548" w:rsidRPr="00495173">
        <w:rPr>
          <w:bCs/>
        </w:rPr>
        <w:t xml:space="preserve">The favourable mean bonus gap for females is significantly impacted by one particularly distinguished female advancing from </w:t>
      </w:r>
      <w:proofErr w:type="gramStart"/>
      <w:r w:rsidR="004E1548" w:rsidRPr="00495173">
        <w:rPr>
          <w:bCs/>
        </w:rPr>
        <w:t>a Silver</w:t>
      </w:r>
      <w:proofErr w:type="gramEnd"/>
      <w:r w:rsidR="004E1548" w:rsidRPr="00495173">
        <w:rPr>
          <w:bCs/>
        </w:rPr>
        <w:t xml:space="preserve"> to a Gold Award in year. </w:t>
      </w:r>
    </w:p>
    <w:p w:rsidR="00E511B9" w:rsidRPr="00495173" w:rsidRDefault="00E511B9" w:rsidP="0045513E">
      <w:pPr>
        <w:pStyle w:val="Default"/>
        <w:spacing w:after="30"/>
        <w:rPr>
          <w:bCs/>
        </w:rPr>
      </w:pPr>
    </w:p>
    <w:p w:rsidR="005E0391" w:rsidRDefault="004E1548" w:rsidP="0045513E">
      <w:pPr>
        <w:pStyle w:val="Default"/>
        <w:spacing w:after="30"/>
      </w:pPr>
      <w:r w:rsidRPr="00495173">
        <w:rPr>
          <w:bCs/>
        </w:rPr>
        <w:t xml:space="preserve">An analysis of the median bonus gender pay gap highlights a very strong correlation between longer length of service and higher bonus pay-rates, which is unsurprising given that </w:t>
      </w:r>
      <w:r w:rsidRPr="00495173">
        <w:t xml:space="preserve">higher bonuses are earnt through cumulative awards based on longer years of service.  Only 5 of 10 females (50%) awarded a CEA had 10 or more years’ service, </w:t>
      </w:r>
    </w:p>
    <w:p w:rsidR="005E0391" w:rsidRDefault="005E0391" w:rsidP="0045513E">
      <w:pPr>
        <w:pStyle w:val="Default"/>
        <w:spacing w:after="30"/>
      </w:pPr>
    </w:p>
    <w:p w:rsidR="005E0391" w:rsidRDefault="005E0391" w:rsidP="0045513E">
      <w:pPr>
        <w:pStyle w:val="Default"/>
        <w:spacing w:after="30"/>
      </w:pPr>
    </w:p>
    <w:p w:rsidR="00751F30" w:rsidRPr="00495173" w:rsidRDefault="004E1548" w:rsidP="0045513E">
      <w:pPr>
        <w:pStyle w:val="Default"/>
        <w:spacing w:after="30"/>
        <w:rPr>
          <w:bCs/>
        </w:rPr>
      </w:pPr>
      <w:proofErr w:type="gramStart"/>
      <w:r w:rsidRPr="00495173">
        <w:t>compared</w:t>
      </w:r>
      <w:proofErr w:type="gramEnd"/>
      <w:r w:rsidRPr="00495173">
        <w:t xml:space="preserve"> with 22 of 28 males (78%).  It will therefore be a number of years until the median bonus pay gap is likely to be reduced significantly as it will take the </w:t>
      </w:r>
      <w:r w:rsidR="008E4A97" w:rsidRPr="00495173">
        <w:t xml:space="preserve">comparatively newer females within the workforce time to accumulate longer service and advance up the CEA scale.  </w:t>
      </w:r>
    </w:p>
    <w:p w:rsidR="00751F30" w:rsidRPr="00495173" w:rsidRDefault="00751F30" w:rsidP="0045513E">
      <w:pPr>
        <w:pStyle w:val="Default"/>
        <w:spacing w:after="30"/>
        <w:rPr>
          <w:bCs/>
        </w:rPr>
      </w:pPr>
    </w:p>
    <w:p w:rsidR="00D87B51" w:rsidRPr="00495173" w:rsidRDefault="000958E9" w:rsidP="0045513E">
      <w:pPr>
        <w:pStyle w:val="Default"/>
        <w:spacing w:after="30"/>
      </w:pPr>
      <w:r w:rsidRPr="00495173">
        <w:t xml:space="preserve">With </w:t>
      </w:r>
      <w:r w:rsidR="00AB6264" w:rsidRPr="00495173">
        <w:t xml:space="preserve">a higher proportion of female Consultants applying for QVH roles and being appointed in more recent years, the proportion of those eligible for bonuses will </w:t>
      </w:r>
      <w:r w:rsidR="0034349C">
        <w:t xml:space="preserve">gradually </w:t>
      </w:r>
      <w:r w:rsidR="00AB6264" w:rsidRPr="00495173">
        <w:t>continue to increase.</w:t>
      </w:r>
    </w:p>
    <w:p w:rsidR="0011015A" w:rsidRDefault="0011015A" w:rsidP="0045513E">
      <w:pPr>
        <w:pStyle w:val="Default"/>
        <w:spacing w:after="30"/>
        <w:rPr>
          <w:sz w:val="22"/>
          <w:szCs w:val="22"/>
        </w:rPr>
      </w:pPr>
    </w:p>
    <w:p w:rsidR="00D87B51" w:rsidRPr="00CF55B1" w:rsidRDefault="00D87B51" w:rsidP="00D87B51">
      <w:pPr>
        <w:pStyle w:val="Default"/>
        <w:numPr>
          <w:ilvl w:val="0"/>
          <w:numId w:val="18"/>
        </w:numPr>
        <w:ind w:left="426"/>
        <w:rPr>
          <w:b/>
          <w:bCs/>
          <w:sz w:val="28"/>
          <w:szCs w:val="28"/>
        </w:rPr>
      </w:pPr>
      <w:r>
        <w:rPr>
          <w:b/>
          <w:bCs/>
          <w:sz w:val="28"/>
          <w:szCs w:val="28"/>
        </w:rPr>
        <w:t>Action plan</w:t>
      </w:r>
    </w:p>
    <w:p w:rsidR="00D87B51" w:rsidRDefault="00D87B51" w:rsidP="0045513E">
      <w:pPr>
        <w:pStyle w:val="Default"/>
        <w:spacing w:after="30"/>
        <w:rPr>
          <w:sz w:val="22"/>
          <w:szCs w:val="22"/>
        </w:rPr>
      </w:pPr>
    </w:p>
    <w:p w:rsidR="00981590" w:rsidRPr="00495173" w:rsidRDefault="00981590" w:rsidP="00981590">
      <w:pPr>
        <w:pStyle w:val="Default"/>
        <w:spacing w:after="30"/>
      </w:pPr>
      <w:r w:rsidRPr="00495173">
        <w:t xml:space="preserve">The Trust’s 2017 report </w:t>
      </w:r>
      <w:r>
        <w:t xml:space="preserve">and action plan </w:t>
      </w:r>
      <w:r w:rsidRPr="00495173">
        <w:t>was referenced by NHS Employers as best practise through separating out Agenda for Change staff and medical staff, ensuring there was an explanatory narrative as well as a purely factual one, and displaying a convincing commitment to future action and an action plan.</w:t>
      </w:r>
      <w:r w:rsidRPr="00495173">
        <w:rPr>
          <w:rStyle w:val="FootnoteReference"/>
        </w:rPr>
        <w:footnoteReference w:id="4"/>
      </w:r>
    </w:p>
    <w:p w:rsidR="00981590" w:rsidRDefault="00981590" w:rsidP="0045513E">
      <w:pPr>
        <w:pStyle w:val="Default"/>
        <w:spacing w:after="30"/>
      </w:pPr>
    </w:p>
    <w:p w:rsidR="0011015A" w:rsidRPr="00495173" w:rsidRDefault="0011015A" w:rsidP="0045513E">
      <w:pPr>
        <w:pStyle w:val="Default"/>
        <w:spacing w:after="30"/>
      </w:pPr>
      <w:r w:rsidRPr="00495173">
        <w:t>The 2017 action plan was implemented in full, with:</w:t>
      </w:r>
    </w:p>
    <w:p w:rsidR="0011015A" w:rsidRPr="00495173" w:rsidRDefault="0011015A" w:rsidP="00885341">
      <w:pPr>
        <w:pStyle w:val="Default"/>
        <w:numPr>
          <w:ilvl w:val="0"/>
          <w:numId w:val="32"/>
        </w:numPr>
        <w:spacing w:after="30"/>
      </w:pPr>
      <w:r w:rsidRPr="00495173">
        <w:t>a review and commitment to the equal pay principles of Agenda for Change job evaluation</w:t>
      </w:r>
    </w:p>
    <w:p w:rsidR="0011015A" w:rsidRPr="00495173" w:rsidRDefault="0011015A" w:rsidP="00885341">
      <w:pPr>
        <w:pStyle w:val="Default"/>
        <w:numPr>
          <w:ilvl w:val="0"/>
          <w:numId w:val="32"/>
        </w:numPr>
        <w:spacing w:after="30"/>
      </w:pPr>
      <w:r w:rsidRPr="00495173">
        <w:t>a review of how well the Trust manages women’s career progression after employment breaks such as maternity leave</w:t>
      </w:r>
    </w:p>
    <w:p w:rsidR="0011015A" w:rsidRPr="00495173" w:rsidRDefault="0011015A" w:rsidP="00885341">
      <w:pPr>
        <w:pStyle w:val="Default"/>
        <w:numPr>
          <w:ilvl w:val="0"/>
          <w:numId w:val="32"/>
        </w:numPr>
        <w:spacing w:after="30"/>
      </w:pPr>
      <w:r w:rsidRPr="00495173">
        <w:t xml:space="preserve">active promotion of current policies on flexible and family-friendly working for all </w:t>
      </w:r>
    </w:p>
    <w:p w:rsidR="0011015A" w:rsidRPr="00495173" w:rsidRDefault="0011015A" w:rsidP="00885341">
      <w:pPr>
        <w:pStyle w:val="Default"/>
        <w:numPr>
          <w:ilvl w:val="0"/>
          <w:numId w:val="32"/>
        </w:numPr>
        <w:spacing w:after="30"/>
      </w:pPr>
      <w:r w:rsidRPr="00495173">
        <w:t>an audit of the Trust's 'Top Quartile' earners to review rationale and conclusions for determination of each remuneration</w:t>
      </w:r>
    </w:p>
    <w:p w:rsidR="0011015A" w:rsidRPr="00495173" w:rsidRDefault="0011015A" w:rsidP="00885341">
      <w:pPr>
        <w:pStyle w:val="Default"/>
        <w:numPr>
          <w:ilvl w:val="0"/>
          <w:numId w:val="32"/>
        </w:numPr>
        <w:spacing w:after="30"/>
      </w:pPr>
      <w:r w:rsidRPr="00495173">
        <w:t>an amendment to Trust Recruitment and Selection Policy to ensure mixed gender panels for selection and remuneration purposes for Bands 8a+, VSM and Consultant appointments (including Clinical Excellence Awards)</w:t>
      </w:r>
    </w:p>
    <w:p w:rsidR="0011015A" w:rsidRPr="00495173" w:rsidRDefault="0011015A" w:rsidP="00885341">
      <w:pPr>
        <w:pStyle w:val="Default"/>
        <w:numPr>
          <w:ilvl w:val="0"/>
          <w:numId w:val="32"/>
        </w:numPr>
        <w:spacing w:after="30"/>
      </w:pPr>
      <w:r w:rsidRPr="00495173">
        <w:t>collaboration with neighbouring acute Trusts to share best practise</w:t>
      </w:r>
    </w:p>
    <w:p w:rsidR="00495173" w:rsidRPr="00495173" w:rsidRDefault="00495173" w:rsidP="0045513E">
      <w:pPr>
        <w:pStyle w:val="Default"/>
        <w:spacing w:after="30"/>
      </w:pPr>
    </w:p>
    <w:p w:rsidR="00885341" w:rsidRPr="00495173" w:rsidRDefault="0011015A" w:rsidP="0045513E">
      <w:pPr>
        <w:pStyle w:val="Default"/>
        <w:spacing w:after="30"/>
      </w:pPr>
      <w:bookmarkStart w:id="0" w:name="_GoBack"/>
      <w:bookmarkEnd w:id="0"/>
      <w:r w:rsidRPr="00495173">
        <w:t>These core principles will continue in the coming years, wi</w:t>
      </w:r>
      <w:r w:rsidR="00885341" w:rsidRPr="00495173">
        <w:t xml:space="preserve">th the </w:t>
      </w:r>
      <w:r w:rsidRPr="00495173">
        <w:t xml:space="preserve">additional </w:t>
      </w:r>
      <w:r w:rsidR="00885341" w:rsidRPr="00495173">
        <w:t>below actions added into the plan following this 2018 report:</w:t>
      </w:r>
    </w:p>
    <w:p w:rsidR="00885341" w:rsidRDefault="00885341" w:rsidP="0045513E">
      <w:pPr>
        <w:pStyle w:val="Default"/>
        <w:spacing w:after="30"/>
        <w:rPr>
          <w:sz w:val="22"/>
          <w:szCs w:val="22"/>
        </w:rPr>
      </w:pPr>
    </w:p>
    <w:tbl>
      <w:tblPr>
        <w:tblStyle w:val="TableGrid"/>
        <w:tblW w:w="9854" w:type="dxa"/>
        <w:tblLook w:val="04A0" w:firstRow="1" w:lastRow="0" w:firstColumn="1" w:lastColumn="0" w:noHBand="0" w:noVBand="1"/>
      </w:tblPr>
      <w:tblGrid>
        <w:gridCol w:w="675"/>
        <w:gridCol w:w="5309"/>
        <w:gridCol w:w="2311"/>
        <w:gridCol w:w="1559"/>
      </w:tblGrid>
      <w:tr w:rsidR="00885341" w:rsidRPr="00600386" w:rsidTr="000634A2">
        <w:trPr>
          <w:trHeight w:val="750"/>
        </w:trPr>
        <w:tc>
          <w:tcPr>
            <w:tcW w:w="675" w:type="dxa"/>
            <w:shd w:val="clear" w:color="auto" w:fill="E5DFEC" w:themeFill="accent4" w:themeFillTint="33"/>
          </w:tcPr>
          <w:p w:rsidR="00885341" w:rsidRPr="00600386" w:rsidRDefault="00885341" w:rsidP="000634A2">
            <w:pPr>
              <w:pStyle w:val="Default"/>
              <w:spacing w:after="30"/>
              <w:rPr>
                <w:b/>
                <w:color w:val="auto"/>
              </w:rPr>
            </w:pPr>
          </w:p>
        </w:tc>
        <w:tc>
          <w:tcPr>
            <w:tcW w:w="5309" w:type="dxa"/>
            <w:shd w:val="clear" w:color="auto" w:fill="E5DFEC" w:themeFill="accent4" w:themeFillTint="33"/>
            <w:hideMark/>
          </w:tcPr>
          <w:p w:rsidR="00885341" w:rsidRPr="00600386" w:rsidRDefault="00885341" w:rsidP="000634A2">
            <w:pPr>
              <w:pStyle w:val="Default"/>
              <w:spacing w:after="30"/>
              <w:rPr>
                <w:b/>
                <w:color w:val="auto"/>
              </w:rPr>
            </w:pPr>
            <w:r w:rsidRPr="00600386">
              <w:rPr>
                <w:b/>
                <w:color w:val="auto"/>
              </w:rPr>
              <w:t>Action</w:t>
            </w:r>
          </w:p>
        </w:tc>
        <w:tc>
          <w:tcPr>
            <w:tcW w:w="2311" w:type="dxa"/>
            <w:shd w:val="clear" w:color="auto" w:fill="E5DFEC" w:themeFill="accent4" w:themeFillTint="33"/>
            <w:hideMark/>
          </w:tcPr>
          <w:p w:rsidR="00885341" w:rsidRPr="00600386" w:rsidRDefault="00885341" w:rsidP="000634A2">
            <w:pPr>
              <w:pStyle w:val="Default"/>
              <w:spacing w:after="30"/>
              <w:rPr>
                <w:b/>
                <w:color w:val="auto"/>
              </w:rPr>
            </w:pPr>
            <w:r w:rsidRPr="00600386">
              <w:rPr>
                <w:b/>
                <w:color w:val="auto"/>
              </w:rPr>
              <w:t>Responsibility</w:t>
            </w:r>
          </w:p>
        </w:tc>
        <w:tc>
          <w:tcPr>
            <w:tcW w:w="1559" w:type="dxa"/>
            <w:shd w:val="clear" w:color="auto" w:fill="E5DFEC" w:themeFill="accent4" w:themeFillTint="33"/>
            <w:hideMark/>
          </w:tcPr>
          <w:p w:rsidR="00885341" w:rsidRPr="00600386" w:rsidRDefault="00885341" w:rsidP="000634A2">
            <w:pPr>
              <w:pStyle w:val="Default"/>
              <w:spacing w:after="30"/>
              <w:rPr>
                <w:b/>
                <w:color w:val="auto"/>
              </w:rPr>
            </w:pPr>
            <w:r w:rsidRPr="00600386">
              <w:rPr>
                <w:b/>
                <w:color w:val="auto"/>
              </w:rPr>
              <w:t>By When</w:t>
            </w:r>
          </w:p>
        </w:tc>
      </w:tr>
      <w:tr w:rsidR="00885341" w:rsidRPr="00B135E6" w:rsidTr="000634A2">
        <w:trPr>
          <w:trHeight w:val="864"/>
        </w:trPr>
        <w:tc>
          <w:tcPr>
            <w:tcW w:w="675" w:type="dxa"/>
          </w:tcPr>
          <w:p w:rsidR="00885341" w:rsidRPr="00B135E6" w:rsidRDefault="00885341" w:rsidP="000634A2">
            <w:pPr>
              <w:pStyle w:val="Default"/>
              <w:spacing w:after="30"/>
            </w:pPr>
            <w:r>
              <w:t>7.</w:t>
            </w:r>
          </w:p>
        </w:tc>
        <w:tc>
          <w:tcPr>
            <w:tcW w:w="5309" w:type="dxa"/>
            <w:hideMark/>
          </w:tcPr>
          <w:p w:rsidR="00885341" w:rsidRPr="00B135E6" w:rsidRDefault="00885341" w:rsidP="00885341">
            <w:pPr>
              <w:pStyle w:val="Default"/>
              <w:spacing w:after="30"/>
            </w:pPr>
            <w:r>
              <w:t>Encouragement of more female workers to apply for Clinical Excellence Awards</w:t>
            </w:r>
          </w:p>
        </w:tc>
        <w:tc>
          <w:tcPr>
            <w:tcW w:w="2311" w:type="dxa"/>
            <w:hideMark/>
          </w:tcPr>
          <w:p w:rsidR="00885341" w:rsidRPr="00B135E6" w:rsidRDefault="00885341" w:rsidP="000634A2">
            <w:pPr>
              <w:pStyle w:val="Default"/>
              <w:spacing w:after="30"/>
            </w:pPr>
            <w:r w:rsidRPr="00B135E6">
              <w:t>Director of Workforce</w:t>
            </w:r>
            <w:r>
              <w:t xml:space="preserve"> &amp; Organisational Development</w:t>
            </w:r>
          </w:p>
        </w:tc>
        <w:tc>
          <w:tcPr>
            <w:tcW w:w="1559" w:type="dxa"/>
            <w:noWrap/>
            <w:hideMark/>
          </w:tcPr>
          <w:p w:rsidR="00885341" w:rsidRPr="00B135E6" w:rsidRDefault="00885341" w:rsidP="000634A2">
            <w:pPr>
              <w:pStyle w:val="Default"/>
              <w:spacing w:after="30"/>
            </w:pPr>
            <w:r>
              <w:t>30/04/2019</w:t>
            </w:r>
          </w:p>
        </w:tc>
      </w:tr>
      <w:tr w:rsidR="00B766B3" w:rsidRPr="00B135E6" w:rsidTr="000634A2">
        <w:trPr>
          <w:trHeight w:val="792"/>
        </w:trPr>
        <w:tc>
          <w:tcPr>
            <w:tcW w:w="675" w:type="dxa"/>
          </w:tcPr>
          <w:p w:rsidR="00B766B3" w:rsidRPr="00B135E6" w:rsidRDefault="00B766B3" w:rsidP="000634A2">
            <w:pPr>
              <w:pStyle w:val="Default"/>
              <w:spacing w:after="30"/>
            </w:pPr>
            <w:r>
              <w:t>8.</w:t>
            </w:r>
          </w:p>
        </w:tc>
        <w:tc>
          <w:tcPr>
            <w:tcW w:w="5309" w:type="dxa"/>
            <w:hideMark/>
          </w:tcPr>
          <w:p w:rsidR="00B766B3" w:rsidRPr="00B135E6" w:rsidRDefault="00B766B3" w:rsidP="000634A2">
            <w:pPr>
              <w:pStyle w:val="Default"/>
              <w:spacing w:after="30"/>
            </w:pPr>
            <w:r>
              <w:t>Explore how we can better promote our vacancies in senior positions to women and organisations that support women</w:t>
            </w:r>
          </w:p>
        </w:tc>
        <w:tc>
          <w:tcPr>
            <w:tcW w:w="2311" w:type="dxa"/>
            <w:hideMark/>
          </w:tcPr>
          <w:p w:rsidR="00B766B3" w:rsidRPr="00B135E6" w:rsidRDefault="00B766B3" w:rsidP="000634A2">
            <w:pPr>
              <w:pStyle w:val="Default"/>
              <w:spacing w:after="30"/>
            </w:pPr>
            <w:r>
              <w:t>Recruitment Manager</w:t>
            </w:r>
          </w:p>
        </w:tc>
        <w:tc>
          <w:tcPr>
            <w:tcW w:w="1559" w:type="dxa"/>
            <w:noWrap/>
            <w:hideMark/>
          </w:tcPr>
          <w:p w:rsidR="00B766B3" w:rsidRPr="00B135E6" w:rsidRDefault="00B766B3" w:rsidP="000634A2">
            <w:pPr>
              <w:pStyle w:val="Default"/>
              <w:spacing w:after="30"/>
            </w:pPr>
            <w:r w:rsidRPr="00B135E6">
              <w:t>30/0</w:t>
            </w:r>
            <w:r>
              <w:t>6/2019</w:t>
            </w:r>
          </w:p>
        </w:tc>
      </w:tr>
      <w:tr w:rsidR="00885341" w:rsidRPr="00B135E6" w:rsidTr="000634A2">
        <w:trPr>
          <w:trHeight w:val="792"/>
        </w:trPr>
        <w:tc>
          <w:tcPr>
            <w:tcW w:w="675" w:type="dxa"/>
          </w:tcPr>
          <w:p w:rsidR="00885341" w:rsidRPr="00B135E6" w:rsidRDefault="00B766B3" w:rsidP="000634A2">
            <w:pPr>
              <w:pStyle w:val="Default"/>
              <w:spacing w:after="30"/>
            </w:pPr>
            <w:r>
              <w:t>9</w:t>
            </w:r>
            <w:r w:rsidR="00885341">
              <w:t>.</w:t>
            </w:r>
          </w:p>
        </w:tc>
        <w:tc>
          <w:tcPr>
            <w:tcW w:w="5309" w:type="dxa"/>
            <w:hideMark/>
          </w:tcPr>
          <w:p w:rsidR="00885341" w:rsidRPr="00B135E6" w:rsidRDefault="00B766B3" w:rsidP="000634A2">
            <w:pPr>
              <w:pStyle w:val="Default"/>
              <w:spacing w:after="30"/>
            </w:pPr>
            <w:r>
              <w:t>Review the policy and process to ensure there is no gender bias in the starting salaries of new employees and regularly monitor</w:t>
            </w:r>
          </w:p>
        </w:tc>
        <w:tc>
          <w:tcPr>
            <w:tcW w:w="2311" w:type="dxa"/>
            <w:hideMark/>
          </w:tcPr>
          <w:p w:rsidR="00885341" w:rsidRPr="00B135E6" w:rsidRDefault="00B766B3" w:rsidP="000634A2">
            <w:pPr>
              <w:pStyle w:val="Default"/>
              <w:spacing w:after="30"/>
            </w:pPr>
            <w:r>
              <w:t>Deputy Director of Workforce</w:t>
            </w:r>
          </w:p>
        </w:tc>
        <w:tc>
          <w:tcPr>
            <w:tcW w:w="1559" w:type="dxa"/>
            <w:noWrap/>
            <w:hideMark/>
          </w:tcPr>
          <w:p w:rsidR="00885341" w:rsidRPr="00B135E6" w:rsidRDefault="00885341" w:rsidP="000634A2">
            <w:pPr>
              <w:pStyle w:val="Default"/>
              <w:spacing w:after="30"/>
            </w:pPr>
            <w:r w:rsidRPr="00B135E6">
              <w:t>30/0</w:t>
            </w:r>
            <w:r w:rsidR="00B766B3">
              <w:t>6/2019</w:t>
            </w:r>
          </w:p>
        </w:tc>
      </w:tr>
    </w:tbl>
    <w:p w:rsidR="00D87B51" w:rsidRDefault="0011015A" w:rsidP="0045513E">
      <w:pPr>
        <w:pStyle w:val="Default"/>
        <w:spacing w:after="30"/>
        <w:rPr>
          <w:sz w:val="22"/>
          <w:szCs w:val="22"/>
        </w:rPr>
      </w:pPr>
      <w:r>
        <w:rPr>
          <w:sz w:val="22"/>
          <w:szCs w:val="22"/>
        </w:rPr>
        <w:t xml:space="preserve"> </w:t>
      </w:r>
    </w:p>
    <w:p w:rsidR="00454375" w:rsidRDefault="00454375" w:rsidP="00495173">
      <w:pPr>
        <w:pStyle w:val="Default"/>
        <w:rPr>
          <w:sz w:val="28"/>
          <w:szCs w:val="28"/>
        </w:rPr>
      </w:pPr>
    </w:p>
    <w:sectPr w:rsidR="00454375" w:rsidSect="00495173">
      <w:pgSz w:w="11906" w:h="16838"/>
      <w:pgMar w:top="567"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1F30" w:rsidRDefault="00751F30" w:rsidP="00914B3D">
      <w:pPr>
        <w:spacing w:after="0" w:line="240" w:lineRule="auto"/>
      </w:pPr>
      <w:r>
        <w:separator/>
      </w:r>
    </w:p>
  </w:endnote>
  <w:endnote w:type="continuationSeparator" w:id="0">
    <w:p w:rsidR="00751F30" w:rsidRDefault="00751F30" w:rsidP="00914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1F30" w:rsidRDefault="00751F30" w:rsidP="00914B3D">
      <w:pPr>
        <w:spacing w:after="0" w:line="240" w:lineRule="auto"/>
      </w:pPr>
      <w:r>
        <w:separator/>
      </w:r>
    </w:p>
  </w:footnote>
  <w:footnote w:type="continuationSeparator" w:id="0">
    <w:p w:rsidR="00751F30" w:rsidRDefault="00751F30" w:rsidP="00914B3D">
      <w:pPr>
        <w:spacing w:after="0" w:line="240" w:lineRule="auto"/>
      </w:pPr>
      <w:r>
        <w:continuationSeparator/>
      </w:r>
    </w:p>
  </w:footnote>
  <w:footnote w:id="1">
    <w:p w:rsidR="00751F30" w:rsidRPr="00B135E6" w:rsidRDefault="00751F30">
      <w:pPr>
        <w:pStyle w:val="FootnoteText"/>
        <w:rPr>
          <w:rStyle w:val="Hyperlink"/>
        </w:rPr>
      </w:pPr>
      <w:r w:rsidRPr="00B135E6">
        <w:rPr>
          <w:rStyle w:val="FootnoteReference"/>
        </w:rPr>
        <w:footnoteRef/>
      </w:r>
      <w:r w:rsidRPr="00B135E6">
        <w:t xml:space="preserve"> </w:t>
      </w:r>
      <w:proofErr w:type="gramStart"/>
      <w:r w:rsidRPr="00B135E6">
        <w:t>NHS Employers.</w:t>
      </w:r>
      <w:proofErr w:type="gramEnd"/>
      <w:r w:rsidRPr="00B135E6">
        <w:t xml:space="preserve"> </w:t>
      </w:r>
      <w:r w:rsidRPr="001979CA">
        <w:rPr>
          <w:i/>
        </w:rPr>
        <w:t>Briefing Note:</w:t>
      </w:r>
      <w:r>
        <w:t xml:space="preserve"> </w:t>
      </w:r>
      <w:r w:rsidRPr="00B135E6">
        <w:rPr>
          <w:i/>
        </w:rPr>
        <w:t>Gender Pay Gap Reporting</w:t>
      </w:r>
      <w:r w:rsidRPr="00B135E6">
        <w:t xml:space="preserve"> retrieved 22/02/18: </w:t>
      </w:r>
      <w:hyperlink r:id="rId1" w:history="1">
        <w:r w:rsidRPr="00B135E6">
          <w:rPr>
            <w:rStyle w:val="Hyperlink"/>
          </w:rPr>
          <w:t>http://www.nhsemployers.org/-/media/Employers/Documents/Pay-and-reward/Gender-pay-gap-reporting---2-March.pdf?la=en&amp;hash=FE3D7AED4EBAB7D606B40A5D5CDDF0CB0F7E1C39</w:t>
        </w:r>
      </w:hyperlink>
    </w:p>
    <w:p w:rsidR="00751F30" w:rsidRPr="00B135E6" w:rsidRDefault="00751F30">
      <w:pPr>
        <w:pStyle w:val="FootnoteText"/>
      </w:pPr>
    </w:p>
  </w:footnote>
  <w:footnote w:id="2">
    <w:p w:rsidR="00751F30" w:rsidRPr="00B135E6" w:rsidRDefault="00751F30">
      <w:pPr>
        <w:pStyle w:val="FootnoteText"/>
      </w:pPr>
      <w:r w:rsidRPr="00B135E6">
        <w:rPr>
          <w:rStyle w:val="FootnoteReference"/>
        </w:rPr>
        <w:footnoteRef/>
      </w:r>
      <w:r w:rsidRPr="00B135E6">
        <w:t xml:space="preserve"> </w:t>
      </w:r>
      <w:proofErr w:type="gramStart"/>
      <w:r w:rsidRPr="00B135E6">
        <w:t>ACAS.</w:t>
      </w:r>
      <w:proofErr w:type="gramEnd"/>
      <w:r w:rsidRPr="00B135E6">
        <w:t xml:space="preserve">  </w:t>
      </w:r>
      <w:r w:rsidRPr="00B135E6">
        <w:rPr>
          <w:i/>
        </w:rPr>
        <w:t>Gender Pay Gap Reporting</w:t>
      </w:r>
      <w:r w:rsidRPr="00B135E6">
        <w:t xml:space="preserve"> retrieved 22/02/18: </w:t>
      </w:r>
      <w:hyperlink r:id="rId2" w:history="1">
        <w:r w:rsidRPr="00B135E6">
          <w:rPr>
            <w:rStyle w:val="Hyperlink"/>
          </w:rPr>
          <w:t>http://www.acas.org.uk/index.aspx?articleid=5768</w:t>
        </w:r>
      </w:hyperlink>
    </w:p>
  </w:footnote>
  <w:footnote w:id="3">
    <w:p w:rsidR="0011015A" w:rsidRDefault="00751F30">
      <w:pPr>
        <w:pStyle w:val="FootnoteText"/>
      </w:pPr>
      <w:r>
        <w:rPr>
          <w:rStyle w:val="FootnoteReference"/>
        </w:rPr>
        <w:footnoteRef/>
      </w:r>
      <w:r>
        <w:t xml:space="preserve"> </w:t>
      </w:r>
      <w:proofErr w:type="gramStart"/>
      <w:r w:rsidRPr="00B135E6">
        <w:t>NHS Employers.</w:t>
      </w:r>
      <w:proofErr w:type="gramEnd"/>
      <w:r w:rsidRPr="00B135E6">
        <w:t xml:space="preserve"> </w:t>
      </w:r>
      <w:proofErr w:type="gramStart"/>
      <w:r w:rsidR="0011015A">
        <w:t>Op cit.</w:t>
      </w:r>
      <w:proofErr w:type="gramEnd"/>
      <w:r w:rsidR="0011015A">
        <w:t xml:space="preserve"> </w:t>
      </w:r>
    </w:p>
    <w:p w:rsidR="00751F30" w:rsidRPr="004978E2" w:rsidRDefault="00751F30">
      <w:pPr>
        <w:pStyle w:val="FootnoteText"/>
        <w:rPr>
          <w:color w:val="0000FF" w:themeColor="hyperlink"/>
          <w:u w:val="single"/>
        </w:rPr>
      </w:pPr>
    </w:p>
  </w:footnote>
  <w:footnote w:id="4">
    <w:p w:rsidR="00981590" w:rsidRDefault="00981590" w:rsidP="00981590">
      <w:pPr>
        <w:pStyle w:val="FootnoteText"/>
      </w:pPr>
      <w:r>
        <w:rPr>
          <w:rStyle w:val="FootnoteReference"/>
        </w:rPr>
        <w:footnoteRef/>
      </w:r>
      <w:r>
        <w:t xml:space="preserve"> NHS Employers: </w:t>
      </w:r>
      <w:r w:rsidRPr="001979CA">
        <w:rPr>
          <w:i/>
        </w:rPr>
        <w:t>Briefing Note:</w:t>
      </w:r>
      <w:r>
        <w:t xml:space="preserve"> </w:t>
      </w:r>
      <w:r w:rsidRPr="00B135E6">
        <w:rPr>
          <w:i/>
        </w:rPr>
        <w:t>Gender Pay Gap Reporting</w:t>
      </w:r>
      <w:r w:rsidRPr="00B135E6">
        <w:t xml:space="preserve"> retrieved 22/02/18: </w:t>
      </w:r>
      <w:hyperlink r:id="rId3" w:history="1">
        <w:r w:rsidRPr="00B135E6">
          <w:rPr>
            <w:rStyle w:val="Hyperlink"/>
          </w:rPr>
          <w:t>http://www.nhsemployers.org/-/media/Employers/Documents/Pay-and-reward/Gender-pay-gap-reporting---2-March.pdf?la=en&amp;hash=FE3D7AED4EBAB7D606B40A5D5CDDF0CB0F7E1C39</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B6A7C"/>
    <w:multiLevelType w:val="hybridMultilevel"/>
    <w:tmpl w:val="A74C7E0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D6F0C5B"/>
    <w:multiLevelType w:val="hybridMultilevel"/>
    <w:tmpl w:val="4AA89640"/>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2">
    <w:nsid w:val="13153141"/>
    <w:multiLevelType w:val="hybridMultilevel"/>
    <w:tmpl w:val="7F2E79C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171F4137"/>
    <w:multiLevelType w:val="hybridMultilevel"/>
    <w:tmpl w:val="8EEC9640"/>
    <w:lvl w:ilvl="0" w:tplc="690415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A9A474A"/>
    <w:multiLevelType w:val="hybridMultilevel"/>
    <w:tmpl w:val="468A9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B955E01"/>
    <w:multiLevelType w:val="hybridMultilevel"/>
    <w:tmpl w:val="40D47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E682BB3"/>
    <w:multiLevelType w:val="hybridMultilevel"/>
    <w:tmpl w:val="74D223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EA3094C"/>
    <w:multiLevelType w:val="hybridMultilevel"/>
    <w:tmpl w:val="C438366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21C94F4E"/>
    <w:multiLevelType w:val="hybridMultilevel"/>
    <w:tmpl w:val="684A7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7970227"/>
    <w:multiLevelType w:val="multilevel"/>
    <w:tmpl w:val="FADEB2FE"/>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nsid w:val="28F90967"/>
    <w:multiLevelType w:val="hybridMultilevel"/>
    <w:tmpl w:val="A09037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A2F7D69"/>
    <w:multiLevelType w:val="hybridMultilevel"/>
    <w:tmpl w:val="025AA5A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nsid w:val="2C94745D"/>
    <w:multiLevelType w:val="hybridMultilevel"/>
    <w:tmpl w:val="A09037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D030540"/>
    <w:multiLevelType w:val="hybridMultilevel"/>
    <w:tmpl w:val="F0D4AAA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B6966CB"/>
    <w:multiLevelType w:val="hybridMultilevel"/>
    <w:tmpl w:val="74D0C800"/>
    <w:lvl w:ilvl="0" w:tplc="0809000F">
      <w:start w:val="1"/>
      <w:numFmt w:val="decimal"/>
      <w:lvlText w:val="%1."/>
      <w:lvlJc w:val="left"/>
      <w:pPr>
        <w:ind w:left="789" w:hanging="360"/>
      </w:pPr>
      <w:rPr>
        <w:rFonts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5">
    <w:nsid w:val="3CEC6855"/>
    <w:multiLevelType w:val="hybridMultilevel"/>
    <w:tmpl w:val="A09037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EA56DF0"/>
    <w:multiLevelType w:val="hybridMultilevel"/>
    <w:tmpl w:val="9D904B3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85C3C4E"/>
    <w:multiLevelType w:val="hybridMultilevel"/>
    <w:tmpl w:val="7BB0AA4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E32224B"/>
    <w:multiLevelType w:val="hybridMultilevel"/>
    <w:tmpl w:val="A74C7E0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21C4009"/>
    <w:multiLevelType w:val="hybridMultilevel"/>
    <w:tmpl w:val="A664F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2CD5587"/>
    <w:multiLevelType w:val="hybridMultilevel"/>
    <w:tmpl w:val="C376FD2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1">
    <w:nsid w:val="53A81F74"/>
    <w:multiLevelType w:val="hybridMultilevel"/>
    <w:tmpl w:val="97F87B0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EB3505C"/>
    <w:multiLevelType w:val="hybridMultilevel"/>
    <w:tmpl w:val="A09037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8B53BD2"/>
    <w:multiLevelType w:val="hybridMultilevel"/>
    <w:tmpl w:val="A09037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96A6402"/>
    <w:multiLevelType w:val="hybridMultilevel"/>
    <w:tmpl w:val="F1921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2E2167C"/>
    <w:multiLevelType w:val="multilevel"/>
    <w:tmpl w:val="764CA1C4"/>
    <w:lvl w:ilvl="0">
      <w:start w:val="1"/>
      <w:numFmt w:val="upperRoman"/>
      <w:pStyle w:val="Heading1"/>
      <w:suff w:val="nothing"/>
      <w:lvlText w:val="%1."/>
      <w:lvlJc w:val="left"/>
      <w:pPr>
        <w:ind w:left="0" w:firstLine="0"/>
      </w:pPr>
      <w:rPr>
        <w:rFonts w:hint="default"/>
      </w:rPr>
    </w:lvl>
    <w:lvl w:ilvl="1">
      <w:start w:val="1"/>
      <w:numFmt w:val="upperLetter"/>
      <w:pStyle w:val="Heading2"/>
      <w:lvlText w:val="%2."/>
      <w:lvlJc w:val="left"/>
      <w:pPr>
        <w:tabs>
          <w:tab w:val="num" w:pos="1080"/>
        </w:tabs>
        <w:ind w:left="720" w:firstLine="0"/>
      </w:pPr>
      <w:rPr>
        <w:rFonts w:hint="default"/>
      </w:rPr>
    </w:lvl>
    <w:lvl w:ilvl="2">
      <w:start w:val="1"/>
      <w:numFmt w:val="decimal"/>
      <w:pStyle w:val="Heading3"/>
      <w:lvlText w:val="%3."/>
      <w:lvlJc w:val="left"/>
      <w:pPr>
        <w:tabs>
          <w:tab w:val="num" w:pos="1637"/>
        </w:tabs>
        <w:ind w:left="1277" w:firstLine="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26">
    <w:nsid w:val="78A067EE"/>
    <w:multiLevelType w:val="hybridMultilevel"/>
    <w:tmpl w:val="C530783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nsid w:val="7AA260B7"/>
    <w:multiLevelType w:val="hybridMultilevel"/>
    <w:tmpl w:val="A74C7E0E"/>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nsid w:val="7CE06ED3"/>
    <w:multiLevelType w:val="hybridMultilevel"/>
    <w:tmpl w:val="594AF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18"/>
  </w:num>
  <w:num w:numId="3">
    <w:abstractNumId w:val="9"/>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17"/>
  </w:num>
  <w:num w:numId="8">
    <w:abstractNumId w:val="20"/>
  </w:num>
  <w:num w:numId="9">
    <w:abstractNumId w:val="19"/>
  </w:num>
  <w:num w:numId="10">
    <w:abstractNumId w:val="8"/>
  </w:num>
  <w:num w:numId="11">
    <w:abstractNumId w:val="4"/>
  </w:num>
  <w:num w:numId="12">
    <w:abstractNumId w:val="24"/>
  </w:num>
  <w:num w:numId="13">
    <w:abstractNumId w:val="0"/>
  </w:num>
  <w:num w:numId="14">
    <w:abstractNumId w:val="27"/>
  </w:num>
  <w:num w:numId="15">
    <w:abstractNumId w:val="16"/>
  </w:num>
  <w:num w:numId="16">
    <w:abstractNumId w:val="21"/>
  </w:num>
  <w:num w:numId="17">
    <w:abstractNumId w:val="13"/>
  </w:num>
  <w:num w:numId="18">
    <w:abstractNumId w:val="15"/>
  </w:num>
  <w:num w:numId="19">
    <w:abstractNumId w:val="5"/>
  </w:num>
  <w:num w:numId="20">
    <w:abstractNumId w:val="28"/>
  </w:num>
  <w:num w:numId="21">
    <w:abstractNumId w:val="10"/>
  </w:num>
  <w:num w:numId="22">
    <w:abstractNumId w:val="23"/>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11"/>
  </w:num>
  <w:num w:numId="27">
    <w:abstractNumId w:val="2"/>
  </w:num>
  <w:num w:numId="28">
    <w:abstractNumId w:val="26"/>
  </w:num>
  <w:num w:numId="29">
    <w:abstractNumId w:val="22"/>
  </w:num>
  <w:num w:numId="30">
    <w:abstractNumId w:val="12"/>
  </w:num>
  <w:num w:numId="31">
    <w:abstractNumId w:val="1"/>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D7A"/>
    <w:rsid w:val="00025158"/>
    <w:rsid w:val="000476B2"/>
    <w:rsid w:val="000512BB"/>
    <w:rsid w:val="000772E8"/>
    <w:rsid w:val="000958E9"/>
    <w:rsid w:val="000B137C"/>
    <w:rsid w:val="000B681A"/>
    <w:rsid w:val="000E2F49"/>
    <w:rsid w:val="000F7A6F"/>
    <w:rsid w:val="0011015A"/>
    <w:rsid w:val="00113DC2"/>
    <w:rsid w:val="001240FE"/>
    <w:rsid w:val="0012752B"/>
    <w:rsid w:val="00191D78"/>
    <w:rsid w:val="00196D25"/>
    <w:rsid w:val="001979CA"/>
    <w:rsid w:val="001B3ADE"/>
    <w:rsid w:val="001C49B3"/>
    <w:rsid w:val="001D570B"/>
    <w:rsid w:val="001E5A18"/>
    <w:rsid w:val="001F3E79"/>
    <w:rsid w:val="00232A0F"/>
    <w:rsid w:val="00241692"/>
    <w:rsid w:val="002440A7"/>
    <w:rsid w:val="00247D91"/>
    <w:rsid w:val="00250203"/>
    <w:rsid w:val="00260513"/>
    <w:rsid w:val="002809DD"/>
    <w:rsid w:val="002A02E0"/>
    <w:rsid w:val="002B30B5"/>
    <w:rsid w:val="002F6BB0"/>
    <w:rsid w:val="003130E1"/>
    <w:rsid w:val="00333C90"/>
    <w:rsid w:val="0034349C"/>
    <w:rsid w:val="00352686"/>
    <w:rsid w:val="00363C4D"/>
    <w:rsid w:val="00377043"/>
    <w:rsid w:val="003C18F1"/>
    <w:rsid w:val="00441491"/>
    <w:rsid w:val="00445A28"/>
    <w:rsid w:val="00454375"/>
    <w:rsid w:val="0045513E"/>
    <w:rsid w:val="00492632"/>
    <w:rsid w:val="00495173"/>
    <w:rsid w:val="004978E2"/>
    <w:rsid w:val="004B0F9C"/>
    <w:rsid w:val="004E1548"/>
    <w:rsid w:val="004E21C0"/>
    <w:rsid w:val="004E6353"/>
    <w:rsid w:val="005010BF"/>
    <w:rsid w:val="00547498"/>
    <w:rsid w:val="00547811"/>
    <w:rsid w:val="00574AE1"/>
    <w:rsid w:val="00583E40"/>
    <w:rsid w:val="005D06C8"/>
    <w:rsid w:val="005D1378"/>
    <w:rsid w:val="005E0391"/>
    <w:rsid w:val="00600386"/>
    <w:rsid w:val="00644328"/>
    <w:rsid w:val="00666C13"/>
    <w:rsid w:val="00677CEF"/>
    <w:rsid w:val="00684A42"/>
    <w:rsid w:val="00715C3F"/>
    <w:rsid w:val="007301F7"/>
    <w:rsid w:val="00733287"/>
    <w:rsid w:val="00751F30"/>
    <w:rsid w:val="00755220"/>
    <w:rsid w:val="00756907"/>
    <w:rsid w:val="0077043A"/>
    <w:rsid w:val="007716A9"/>
    <w:rsid w:val="00773A9B"/>
    <w:rsid w:val="00782F2B"/>
    <w:rsid w:val="00785390"/>
    <w:rsid w:val="00797064"/>
    <w:rsid w:val="007C1246"/>
    <w:rsid w:val="007C4BDD"/>
    <w:rsid w:val="007F25D5"/>
    <w:rsid w:val="00807EA3"/>
    <w:rsid w:val="0081041A"/>
    <w:rsid w:val="0081620D"/>
    <w:rsid w:val="0082278B"/>
    <w:rsid w:val="008400F1"/>
    <w:rsid w:val="00846A9E"/>
    <w:rsid w:val="008509D4"/>
    <w:rsid w:val="00885341"/>
    <w:rsid w:val="008860A5"/>
    <w:rsid w:val="008E4A97"/>
    <w:rsid w:val="008E7999"/>
    <w:rsid w:val="00912E56"/>
    <w:rsid w:val="00914B3D"/>
    <w:rsid w:val="00930C29"/>
    <w:rsid w:val="009333F2"/>
    <w:rsid w:val="00981590"/>
    <w:rsid w:val="0098393A"/>
    <w:rsid w:val="009941A7"/>
    <w:rsid w:val="009B0D7A"/>
    <w:rsid w:val="009B397A"/>
    <w:rsid w:val="009C3271"/>
    <w:rsid w:val="009C35A5"/>
    <w:rsid w:val="00A031F1"/>
    <w:rsid w:val="00A1056C"/>
    <w:rsid w:val="00A13558"/>
    <w:rsid w:val="00A632E5"/>
    <w:rsid w:val="00A73F68"/>
    <w:rsid w:val="00A92CC6"/>
    <w:rsid w:val="00A95DE7"/>
    <w:rsid w:val="00A97CB0"/>
    <w:rsid w:val="00AB1F86"/>
    <w:rsid w:val="00AB2EF8"/>
    <w:rsid w:val="00AB4A9C"/>
    <w:rsid w:val="00AB6264"/>
    <w:rsid w:val="00AC3079"/>
    <w:rsid w:val="00AC5DB9"/>
    <w:rsid w:val="00AD4960"/>
    <w:rsid w:val="00AD6B74"/>
    <w:rsid w:val="00AE109C"/>
    <w:rsid w:val="00AF17F5"/>
    <w:rsid w:val="00AF6AEE"/>
    <w:rsid w:val="00B07392"/>
    <w:rsid w:val="00B135E6"/>
    <w:rsid w:val="00B145F4"/>
    <w:rsid w:val="00B162D2"/>
    <w:rsid w:val="00B27523"/>
    <w:rsid w:val="00B40668"/>
    <w:rsid w:val="00B543DA"/>
    <w:rsid w:val="00B55270"/>
    <w:rsid w:val="00B766B3"/>
    <w:rsid w:val="00B90A15"/>
    <w:rsid w:val="00B93A0D"/>
    <w:rsid w:val="00BB3EA6"/>
    <w:rsid w:val="00BB68BF"/>
    <w:rsid w:val="00BD08E3"/>
    <w:rsid w:val="00BD5642"/>
    <w:rsid w:val="00C23F67"/>
    <w:rsid w:val="00C50F14"/>
    <w:rsid w:val="00C7311D"/>
    <w:rsid w:val="00C805E1"/>
    <w:rsid w:val="00C855B9"/>
    <w:rsid w:val="00C92408"/>
    <w:rsid w:val="00CB40B2"/>
    <w:rsid w:val="00CB4C19"/>
    <w:rsid w:val="00CF3D44"/>
    <w:rsid w:val="00CF517B"/>
    <w:rsid w:val="00CF55B1"/>
    <w:rsid w:val="00D1181B"/>
    <w:rsid w:val="00D3747A"/>
    <w:rsid w:val="00D4023F"/>
    <w:rsid w:val="00D675B8"/>
    <w:rsid w:val="00D83445"/>
    <w:rsid w:val="00D876EA"/>
    <w:rsid w:val="00D87B51"/>
    <w:rsid w:val="00D9638A"/>
    <w:rsid w:val="00D976D2"/>
    <w:rsid w:val="00DE74BF"/>
    <w:rsid w:val="00DF18AF"/>
    <w:rsid w:val="00E30CA4"/>
    <w:rsid w:val="00E511B9"/>
    <w:rsid w:val="00E81100"/>
    <w:rsid w:val="00EA1825"/>
    <w:rsid w:val="00EB0379"/>
    <w:rsid w:val="00ED31B6"/>
    <w:rsid w:val="00ED348C"/>
    <w:rsid w:val="00ED6ED3"/>
    <w:rsid w:val="00ED7F05"/>
    <w:rsid w:val="00EE19A7"/>
    <w:rsid w:val="00EF51FE"/>
    <w:rsid w:val="00F410DB"/>
    <w:rsid w:val="00F440C0"/>
    <w:rsid w:val="00F57B75"/>
    <w:rsid w:val="00F73E43"/>
    <w:rsid w:val="00F85339"/>
    <w:rsid w:val="00F935FD"/>
    <w:rsid w:val="00FA1E34"/>
    <w:rsid w:val="00FC4EC1"/>
    <w:rsid w:val="00FE31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B0D7A"/>
    <w:pPr>
      <w:keepNext/>
      <w:numPr>
        <w:numId w:val="1"/>
      </w:numPr>
      <w:spacing w:before="240" w:after="60" w:line="240" w:lineRule="auto"/>
      <w:outlineLvl w:val="0"/>
    </w:pPr>
    <w:rPr>
      <w:rFonts w:ascii="Arial" w:eastAsia="Times New Roman" w:hAnsi="Arial" w:cs="Arial"/>
      <w:b/>
      <w:bCs/>
      <w:kern w:val="32"/>
      <w:sz w:val="32"/>
      <w:szCs w:val="32"/>
      <w:lang w:val="en-US"/>
    </w:rPr>
  </w:style>
  <w:style w:type="paragraph" w:styleId="Heading2">
    <w:name w:val="heading 2"/>
    <w:basedOn w:val="Normal"/>
    <w:next w:val="Normal"/>
    <w:link w:val="Heading2Char"/>
    <w:qFormat/>
    <w:rsid w:val="009B0D7A"/>
    <w:pPr>
      <w:keepNext/>
      <w:numPr>
        <w:ilvl w:val="1"/>
        <w:numId w:val="1"/>
      </w:numPr>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qFormat/>
    <w:rsid w:val="009B0D7A"/>
    <w:pPr>
      <w:keepNext/>
      <w:numPr>
        <w:ilvl w:val="2"/>
        <w:numId w:val="1"/>
      </w:numPr>
      <w:tabs>
        <w:tab w:val="clear" w:pos="1637"/>
        <w:tab w:val="num" w:pos="1800"/>
      </w:tabs>
      <w:spacing w:before="240" w:after="60" w:line="240" w:lineRule="auto"/>
      <w:ind w:left="1440"/>
      <w:outlineLvl w:val="2"/>
    </w:pPr>
    <w:rPr>
      <w:rFonts w:ascii="Arial" w:eastAsia="Times New Roman" w:hAnsi="Arial" w:cs="Arial"/>
      <w:b/>
      <w:bCs/>
      <w:sz w:val="26"/>
      <w:szCs w:val="26"/>
      <w:lang w:val="en-US"/>
    </w:rPr>
  </w:style>
  <w:style w:type="paragraph" w:styleId="Heading4">
    <w:name w:val="heading 4"/>
    <w:basedOn w:val="Normal"/>
    <w:next w:val="Normal"/>
    <w:link w:val="Heading4Char"/>
    <w:qFormat/>
    <w:rsid w:val="009B0D7A"/>
    <w:pPr>
      <w:keepNext/>
      <w:numPr>
        <w:ilvl w:val="3"/>
        <w:numId w:val="1"/>
      </w:numPr>
      <w:spacing w:before="240" w:after="60" w:line="240" w:lineRule="auto"/>
      <w:outlineLvl w:val="3"/>
    </w:pPr>
    <w:rPr>
      <w:rFonts w:ascii="Times New Roman" w:eastAsia="Times New Roman" w:hAnsi="Times New Roman" w:cs="Times New Roman"/>
      <w:b/>
      <w:bCs/>
      <w:sz w:val="28"/>
      <w:szCs w:val="28"/>
      <w:lang w:val="en-US"/>
    </w:rPr>
  </w:style>
  <w:style w:type="paragraph" w:styleId="Heading5">
    <w:name w:val="heading 5"/>
    <w:basedOn w:val="Normal"/>
    <w:next w:val="Normal"/>
    <w:link w:val="Heading5Char"/>
    <w:qFormat/>
    <w:rsid w:val="009B0D7A"/>
    <w:pPr>
      <w:numPr>
        <w:ilvl w:val="4"/>
        <w:numId w:val="1"/>
      </w:numPr>
      <w:spacing w:before="240" w:after="60" w:line="240" w:lineRule="auto"/>
      <w:outlineLvl w:val="4"/>
    </w:pPr>
    <w:rPr>
      <w:rFonts w:ascii="Times New Roman" w:eastAsia="Times New Roman" w:hAnsi="Times New Roman" w:cs="Times New Roman"/>
      <w:b/>
      <w:bCs/>
      <w:i/>
      <w:iCs/>
      <w:sz w:val="26"/>
      <w:szCs w:val="26"/>
      <w:lang w:val="en-US"/>
    </w:rPr>
  </w:style>
  <w:style w:type="paragraph" w:styleId="Heading6">
    <w:name w:val="heading 6"/>
    <w:basedOn w:val="Normal"/>
    <w:next w:val="Normal"/>
    <w:link w:val="Heading6Char"/>
    <w:qFormat/>
    <w:rsid w:val="009B0D7A"/>
    <w:pPr>
      <w:numPr>
        <w:ilvl w:val="5"/>
        <w:numId w:val="1"/>
      </w:numPr>
      <w:spacing w:after="0" w:line="240" w:lineRule="auto"/>
      <w:outlineLvl w:val="5"/>
    </w:pPr>
    <w:rPr>
      <w:rFonts w:ascii="Times New Roman" w:eastAsia="Times New Roman" w:hAnsi="Times New Roman" w:cs="Times New Roman"/>
      <w:sz w:val="24"/>
      <w:szCs w:val="24"/>
      <w:lang w:val="en-US"/>
    </w:rPr>
  </w:style>
  <w:style w:type="paragraph" w:styleId="Heading7">
    <w:name w:val="heading 7"/>
    <w:basedOn w:val="Normal"/>
    <w:next w:val="Normal"/>
    <w:link w:val="Heading7Char"/>
    <w:qFormat/>
    <w:rsid w:val="009B0D7A"/>
    <w:pPr>
      <w:numPr>
        <w:ilvl w:val="6"/>
        <w:numId w:val="1"/>
      </w:numPr>
      <w:spacing w:before="240" w:after="60" w:line="240" w:lineRule="auto"/>
      <w:outlineLvl w:val="6"/>
    </w:pPr>
    <w:rPr>
      <w:rFonts w:ascii="Times New Roman" w:eastAsia="Times New Roman" w:hAnsi="Times New Roman" w:cs="Times New Roman"/>
      <w:sz w:val="24"/>
      <w:szCs w:val="24"/>
      <w:lang w:val="en-US"/>
    </w:rPr>
  </w:style>
  <w:style w:type="paragraph" w:styleId="Heading8">
    <w:name w:val="heading 8"/>
    <w:basedOn w:val="Normal"/>
    <w:next w:val="Normal"/>
    <w:link w:val="Heading8Char"/>
    <w:qFormat/>
    <w:rsid w:val="009B0D7A"/>
    <w:pPr>
      <w:numPr>
        <w:ilvl w:val="7"/>
        <w:numId w:val="1"/>
      </w:numPr>
      <w:spacing w:before="240" w:after="60" w:line="240" w:lineRule="auto"/>
      <w:outlineLvl w:val="7"/>
    </w:pPr>
    <w:rPr>
      <w:rFonts w:ascii="Times New Roman" w:eastAsia="Times New Roman" w:hAnsi="Times New Roman" w:cs="Times New Roman"/>
      <w:i/>
      <w:iCs/>
      <w:sz w:val="24"/>
      <w:szCs w:val="24"/>
      <w:lang w:val="en-US"/>
    </w:rPr>
  </w:style>
  <w:style w:type="paragraph" w:styleId="Heading9">
    <w:name w:val="heading 9"/>
    <w:basedOn w:val="Normal"/>
    <w:next w:val="Normal"/>
    <w:link w:val="Heading9Char"/>
    <w:qFormat/>
    <w:rsid w:val="009B0D7A"/>
    <w:pPr>
      <w:numPr>
        <w:ilvl w:val="8"/>
        <w:numId w:val="1"/>
      </w:numPr>
      <w:spacing w:before="240" w:after="60" w:line="240" w:lineRule="auto"/>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title">
    <w:name w:val="Outline title"/>
    <w:basedOn w:val="Normal"/>
    <w:rsid w:val="009B0D7A"/>
    <w:pPr>
      <w:spacing w:after="360" w:line="240" w:lineRule="auto"/>
      <w:jc w:val="center"/>
    </w:pPr>
    <w:rPr>
      <w:rFonts w:ascii="Times New Roman" w:eastAsia="Times New Roman" w:hAnsi="Times New Roman" w:cs="Times New Roman"/>
      <w:b/>
      <w:sz w:val="72"/>
      <w:szCs w:val="52"/>
      <w:lang w:val="en-US"/>
    </w:rPr>
  </w:style>
  <w:style w:type="character" w:customStyle="1" w:styleId="Heading1Char">
    <w:name w:val="Heading 1 Char"/>
    <w:basedOn w:val="DefaultParagraphFont"/>
    <w:link w:val="Heading1"/>
    <w:rsid w:val="009B0D7A"/>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rsid w:val="009B0D7A"/>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9B0D7A"/>
    <w:rPr>
      <w:rFonts w:ascii="Arial" w:eastAsia="Times New Roman" w:hAnsi="Arial" w:cs="Arial"/>
      <w:b/>
      <w:bCs/>
      <w:sz w:val="26"/>
      <w:szCs w:val="26"/>
      <w:lang w:val="en-US"/>
    </w:rPr>
  </w:style>
  <w:style w:type="character" w:customStyle="1" w:styleId="Heading4Char">
    <w:name w:val="Heading 4 Char"/>
    <w:basedOn w:val="DefaultParagraphFont"/>
    <w:link w:val="Heading4"/>
    <w:rsid w:val="009B0D7A"/>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9B0D7A"/>
    <w:rPr>
      <w:rFonts w:ascii="Times New Roman" w:eastAsia="Times New Roman" w:hAnsi="Times New Roman" w:cs="Times New Roman"/>
      <w:b/>
      <w:bCs/>
      <w:i/>
      <w:iCs/>
      <w:sz w:val="26"/>
      <w:szCs w:val="26"/>
      <w:lang w:val="en-US"/>
    </w:rPr>
  </w:style>
  <w:style w:type="character" w:customStyle="1" w:styleId="Heading6Char">
    <w:name w:val="Heading 6 Char"/>
    <w:basedOn w:val="DefaultParagraphFont"/>
    <w:link w:val="Heading6"/>
    <w:rsid w:val="009B0D7A"/>
    <w:rPr>
      <w:rFonts w:ascii="Times New Roman" w:eastAsia="Times New Roman" w:hAnsi="Times New Roman" w:cs="Times New Roman"/>
      <w:sz w:val="24"/>
      <w:szCs w:val="24"/>
      <w:lang w:val="en-US"/>
    </w:rPr>
  </w:style>
  <w:style w:type="character" w:customStyle="1" w:styleId="Heading7Char">
    <w:name w:val="Heading 7 Char"/>
    <w:basedOn w:val="DefaultParagraphFont"/>
    <w:link w:val="Heading7"/>
    <w:rsid w:val="009B0D7A"/>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9B0D7A"/>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9B0D7A"/>
    <w:rPr>
      <w:rFonts w:ascii="Arial" w:eastAsia="Times New Roman" w:hAnsi="Arial" w:cs="Arial"/>
      <w:lang w:val="en-US"/>
    </w:rPr>
  </w:style>
  <w:style w:type="paragraph" w:styleId="ListParagraph">
    <w:name w:val="List Paragraph"/>
    <w:basedOn w:val="Normal"/>
    <w:uiPriority w:val="34"/>
    <w:qFormat/>
    <w:rsid w:val="009B0D7A"/>
    <w:pPr>
      <w:ind w:left="720"/>
      <w:contextualSpacing/>
    </w:pPr>
  </w:style>
  <w:style w:type="table" w:styleId="TableGrid">
    <w:name w:val="Table Grid"/>
    <w:basedOn w:val="TableNormal"/>
    <w:uiPriority w:val="59"/>
    <w:rsid w:val="00B543D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4B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4B3D"/>
  </w:style>
  <w:style w:type="paragraph" w:styleId="Footer">
    <w:name w:val="footer"/>
    <w:basedOn w:val="Normal"/>
    <w:link w:val="FooterChar"/>
    <w:uiPriority w:val="99"/>
    <w:unhideWhenUsed/>
    <w:rsid w:val="00914B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4B3D"/>
  </w:style>
  <w:style w:type="paragraph" w:styleId="BalloonText">
    <w:name w:val="Balloon Text"/>
    <w:basedOn w:val="Normal"/>
    <w:link w:val="BalloonTextChar"/>
    <w:uiPriority w:val="99"/>
    <w:semiHidden/>
    <w:unhideWhenUsed/>
    <w:rsid w:val="00914B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4B3D"/>
    <w:rPr>
      <w:rFonts w:ascii="Tahoma" w:hAnsi="Tahoma" w:cs="Tahoma"/>
      <w:sz w:val="16"/>
      <w:szCs w:val="16"/>
    </w:rPr>
  </w:style>
  <w:style w:type="paragraph" w:customStyle="1" w:styleId="Default">
    <w:name w:val="Default"/>
    <w:rsid w:val="00B90A15"/>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B90A15"/>
    <w:rPr>
      <w:color w:val="0000FF" w:themeColor="hyperlink"/>
      <w:u w:val="single"/>
    </w:rPr>
  </w:style>
  <w:style w:type="paragraph" w:styleId="EndnoteText">
    <w:name w:val="endnote text"/>
    <w:basedOn w:val="Normal"/>
    <w:link w:val="EndnoteTextChar"/>
    <w:uiPriority w:val="99"/>
    <w:semiHidden/>
    <w:unhideWhenUsed/>
    <w:rsid w:val="00F410D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410DB"/>
    <w:rPr>
      <w:sz w:val="20"/>
      <w:szCs w:val="20"/>
    </w:rPr>
  </w:style>
  <w:style w:type="character" w:styleId="EndnoteReference">
    <w:name w:val="endnote reference"/>
    <w:basedOn w:val="DefaultParagraphFont"/>
    <w:uiPriority w:val="99"/>
    <w:semiHidden/>
    <w:unhideWhenUsed/>
    <w:rsid w:val="00F410DB"/>
    <w:rPr>
      <w:vertAlign w:val="superscript"/>
    </w:rPr>
  </w:style>
  <w:style w:type="character" w:customStyle="1" w:styleId="gender">
    <w:name w:val="gender"/>
    <w:basedOn w:val="DefaultParagraphFont"/>
    <w:rsid w:val="002B30B5"/>
  </w:style>
  <w:style w:type="paragraph" w:customStyle="1" w:styleId="font-small">
    <w:name w:val="font-small"/>
    <w:basedOn w:val="Normal"/>
    <w:rsid w:val="002B30B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ype">
    <w:name w:val="type"/>
    <w:basedOn w:val="Normal"/>
    <w:rsid w:val="002B30B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2B30B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er1">
    <w:name w:val="Header1"/>
    <w:basedOn w:val="Normal"/>
    <w:rsid w:val="002B30B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F73E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3E43"/>
    <w:rPr>
      <w:sz w:val="20"/>
      <w:szCs w:val="20"/>
    </w:rPr>
  </w:style>
  <w:style w:type="character" w:styleId="FootnoteReference">
    <w:name w:val="footnote reference"/>
    <w:basedOn w:val="DefaultParagraphFont"/>
    <w:uiPriority w:val="99"/>
    <w:semiHidden/>
    <w:unhideWhenUsed/>
    <w:rsid w:val="00F73E43"/>
    <w:rPr>
      <w:vertAlign w:val="superscript"/>
    </w:rPr>
  </w:style>
  <w:style w:type="character" w:styleId="CommentReference">
    <w:name w:val="annotation reference"/>
    <w:basedOn w:val="DefaultParagraphFont"/>
    <w:uiPriority w:val="99"/>
    <w:semiHidden/>
    <w:unhideWhenUsed/>
    <w:rsid w:val="00CB40B2"/>
    <w:rPr>
      <w:sz w:val="16"/>
      <w:szCs w:val="16"/>
    </w:rPr>
  </w:style>
  <w:style w:type="paragraph" w:styleId="CommentText">
    <w:name w:val="annotation text"/>
    <w:basedOn w:val="Normal"/>
    <w:link w:val="CommentTextChar"/>
    <w:uiPriority w:val="99"/>
    <w:semiHidden/>
    <w:unhideWhenUsed/>
    <w:rsid w:val="00CB40B2"/>
    <w:pPr>
      <w:spacing w:line="240" w:lineRule="auto"/>
    </w:pPr>
    <w:rPr>
      <w:sz w:val="20"/>
      <w:szCs w:val="20"/>
    </w:rPr>
  </w:style>
  <w:style w:type="character" w:customStyle="1" w:styleId="CommentTextChar">
    <w:name w:val="Comment Text Char"/>
    <w:basedOn w:val="DefaultParagraphFont"/>
    <w:link w:val="CommentText"/>
    <w:uiPriority w:val="99"/>
    <w:semiHidden/>
    <w:rsid w:val="00CB40B2"/>
    <w:rPr>
      <w:sz w:val="20"/>
      <w:szCs w:val="20"/>
    </w:rPr>
  </w:style>
  <w:style w:type="paragraph" w:styleId="CommentSubject">
    <w:name w:val="annotation subject"/>
    <w:basedOn w:val="CommentText"/>
    <w:next w:val="CommentText"/>
    <w:link w:val="CommentSubjectChar"/>
    <w:uiPriority w:val="99"/>
    <w:semiHidden/>
    <w:unhideWhenUsed/>
    <w:rsid w:val="00CB40B2"/>
    <w:rPr>
      <w:b/>
      <w:bCs/>
    </w:rPr>
  </w:style>
  <w:style w:type="character" w:customStyle="1" w:styleId="CommentSubjectChar">
    <w:name w:val="Comment Subject Char"/>
    <w:basedOn w:val="CommentTextChar"/>
    <w:link w:val="CommentSubject"/>
    <w:uiPriority w:val="99"/>
    <w:semiHidden/>
    <w:rsid w:val="00CB40B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B0D7A"/>
    <w:pPr>
      <w:keepNext/>
      <w:numPr>
        <w:numId w:val="1"/>
      </w:numPr>
      <w:spacing w:before="240" w:after="60" w:line="240" w:lineRule="auto"/>
      <w:outlineLvl w:val="0"/>
    </w:pPr>
    <w:rPr>
      <w:rFonts w:ascii="Arial" w:eastAsia="Times New Roman" w:hAnsi="Arial" w:cs="Arial"/>
      <w:b/>
      <w:bCs/>
      <w:kern w:val="32"/>
      <w:sz w:val="32"/>
      <w:szCs w:val="32"/>
      <w:lang w:val="en-US"/>
    </w:rPr>
  </w:style>
  <w:style w:type="paragraph" w:styleId="Heading2">
    <w:name w:val="heading 2"/>
    <w:basedOn w:val="Normal"/>
    <w:next w:val="Normal"/>
    <w:link w:val="Heading2Char"/>
    <w:qFormat/>
    <w:rsid w:val="009B0D7A"/>
    <w:pPr>
      <w:keepNext/>
      <w:numPr>
        <w:ilvl w:val="1"/>
        <w:numId w:val="1"/>
      </w:numPr>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qFormat/>
    <w:rsid w:val="009B0D7A"/>
    <w:pPr>
      <w:keepNext/>
      <w:numPr>
        <w:ilvl w:val="2"/>
        <w:numId w:val="1"/>
      </w:numPr>
      <w:tabs>
        <w:tab w:val="clear" w:pos="1637"/>
        <w:tab w:val="num" w:pos="1800"/>
      </w:tabs>
      <w:spacing w:before="240" w:after="60" w:line="240" w:lineRule="auto"/>
      <w:ind w:left="1440"/>
      <w:outlineLvl w:val="2"/>
    </w:pPr>
    <w:rPr>
      <w:rFonts w:ascii="Arial" w:eastAsia="Times New Roman" w:hAnsi="Arial" w:cs="Arial"/>
      <w:b/>
      <w:bCs/>
      <w:sz w:val="26"/>
      <w:szCs w:val="26"/>
      <w:lang w:val="en-US"/>
    </w:rPr>
  </w:style>
  <w:style w:type="paragraph" w:styleId="Heading4">
    <w:name w:val="heading 4"/>
    <w:basedOn w:val="Normal"/>
    <w:next w:val="Normal"/>
    <w:link w:val="Heading4Char"/>
    <w:qFormat/>
    <w:rsid w:val="009B0D7A"/>
    <w:pPr>
      <w:keepNext/>
      <w:numPr>
        <w:ilvl w:val="3"/>
        <w:numId w:val="1"/>
      </w:numPr>
      <w:spacing w:before="240" w:after="60" w:line="240" w:lineRule="auto"/>
      <w:outlineLvl w:val="3"/>
    </w:pPr>
    <w:rPr>
      <w:rFonts w:ascii="Times New Roman" w:eastAsia="Times New Roman" w:hAnsi="Times New Roman" w:cs="Times New Roman"/>
      <w:b/>
      <w:bCs/>
      <w:sz w:val="28"/>
      <w:szCs w:val="28"/>
      <w:lang w:val="en-US"/>
    </w:rPr>
  </w:style>
  <w:style w:type="paragraph" w:styleId="Heading5">
    <w:name w:val="heading 5"/>
    <w:basedOn w:val="Normal"/>
    <w:next w:val="Normal"/>
    <w:link w:val="Heading5Char"/>
    <w:qFormat/>
    <w:rsid w:val="009B0D7A"/>
    <w:pPr>
      <w:numPr>
        <w:ilvl w:val="4"/>
        <w:numId w:val="1"/>
      </w:numPr>
      <w:spacing w:before="240" w:after="60" w:line="240" w:lineRule="auto"/>
      <w:outlineLvl w:val="4"/>
    </w:pPr>
    <w:rPr>
      <w:rFonts w:ascii="Times New Roman" w:eastAsia="Times New Roman" w:hAnsi="Times New Roman" w:cs="Times New Roman"/>
      <w:b/>
      <w:bCs/>
      <w:i/>
      <w:iCs/>
      <w:sz w:val="26"/>
      <w:szCs w:val="26"/>
      <w:lang w:val="en-US"/>
    </w:rPr>
  </w:style>
  <w:style w:type="paragraph" w:styleId="Heading6">
    <w:name w:val="heading 6"/>
    <w:basedOn w:val="Normal"/>
    <w:next w:val="Normal"/>
    <w:link w:val="Heading6Char"/>
    <w:qFormat/>
    <w:rsid w:val="009B0D7A"/>
    <w:pPr>
      <w:numPr>
        <w:ilvl w:val="5"/>
        <w:numId w:val="1"/>
      </w:numPr>
      <w:spacing w:after="0" w:line="240" w:lineRule="auto"/>
      <w:outlineLvl w:val="5"/>
    </w:pPr>
    <w:rPr>
      <w:rFonts w:ascii="Times New Roman" w:eastAsia="Times New Roman" w:hAnsi="Times New Roman" w:cs="Times New Roman"/>
      <w:sz w:val="24"/>
      <w:szCs w:val="24"/>
      <w:lang w:val="en-US"/>
    </w:rPr>
  </w:style>
  <w:style w:type="paragraph" w:styleId="Heading7">
    <w:name w:val="heading 7"/>
    <w:basedOn w:val="Normal"/>
    <w:next w:val="Normal"/>
    <w:link w:val="Heading7Char"/>
    <w:qFormat/>
    <w:rsid w:val="009B0D7A"/>
    <w:pPr>
      <w:numPr>
        <w:ilvl w:val="6"/>
        <w:numId w:val="1"/>
      </w:numPr>
      <w:spacing w:before="240" w:after="60" w:line="240" w:lineRule="auto"/>
      <w:outlineLvl w:val="6"/>
    </w:pPr>
    <w:rPr>
      <w:rFonts w:ascii="Times New Roman" w:eastAsia="Times New Roman" w:hAnsi="Times New Roman" w:cs="Times New Roman"/>
      <w:sz w:val="24"/>
      <w:szCs w:val="24"/>
      <w:lang w:val="en-US"/>
    </w:rPr>
  </w:style>
  <w:style w:type="paragraph" w:styleId="Heading8">
    <w:name w:val="heading 8"/>
    <w:basedOn w:val="Normal"/>
    <w:next w:val="Normal"/>
    <w:link w:val="Heading8Char"/>
    <w:qFormat/>
    <w:rsid w:val="009B0D7A"/>
    <w:pPr>
      <w:numPr>
        <w:ilvl w:val="7"/>
        <w:numId w:val="1"/>
      </w:numPr>
      <w:spacing w:before="240" w:after="60" w:line="240" w:lineRule="auto"/>
      <w:outlineLvl w:val="7"/>
    </w:pPr>
    <w:rPr>
      <w:rFonts w:ascii="Times New Roman" w:eastAsia="Times New Roman" w:hAnsi="Times New Roman" w:cs="Times New Roman"/>
      <w:i/>
      <w:iCs/>
      <w:sz w:val="24"/>
      <w:szCs w:val="24"/>
      <w:lang w:val="en-US"/>
    </w:rPr>
  </w:style>
  <w:style w:type="paragraph" w:styleId="Heading9">
    <w:name w:val="heading 9"/>
    <w:basedOn w:val="Normal"/>
    <w:next w:val="Normal"/>
    <w:link w:val="Heading9Char"/>
    <w:qFormat/>
    <w:rsid w:val="009B0D7A"/>
    <w:pPr>
      <w:numPr>
        <w:ilvl w:val="8"/>
        <w:numId w:val="1"/>
      </w:numPr>
      <w:spacing w:before="240" w:after="60" w:line="240" w:lineRule="auto"/>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title">
    <w:name w:val="Outline title"/>
    <w:basedOn w:val="Normal"/>
    <w:rsid w:val="009B0D7A"/>
    <w:pPr>
      <w:spacing w:after="360" w:line="240" w:lineRule="auto"/>
      <w:jc w:val="center"/>
    </w:pPr>
    <w:rPr>
      <w:rFonts w:ascii="Times New Roman" w:eastAsia="Times New Roman" w:hAnsi="Times New Roman" w:cs="Times New Roman"/>
      <w:b/>
      <w:sz w:val="72"/>
      <w:szCs w:val="52"/>
      <w:lang w:val="en-US"/>
    </w:rPr>
  </w:style>
  <w:style w:type="character" w:customStyle="1" w:styleId="Heading1Char">
    <w:name w:val="Heading 1 Char"/>
    <w:basedOn w:val="DefaultParagraphFont"/>
    <w:link w:val="Heading1"/>
    <w:rsid w:val="009B0D7A"/>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rsid w:val="009B0D7A"/>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9B0D7A"/>
    <w:rPr>
      <w:rFonts w:ascii="Arial" w:eastAsia="Times New Roman" w:hAnsi="Arial" w:cs="Arial"/>
      <w:b/>
      <w:bCs/>
      <w:sz w:val="26"/>
      <w:szCs w:val="26"/>
      <w:lang w:val="en-US"/>
    </w:rPr>
  </w:style>
  <w:style w:type="character" w:customStyle="1" w:styleId="Heading4Char">
    <w:name w:val="Heading 4 Char"/>
    <w:basedOn w:val="DefaultParagraphFont"/>
    <w:link w:val="Heading4"/>
    <w:rsid w:val="009B0D7A"/>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9B0D7A"/>
    <w:rPr>
      <w:rFonts w:ascii="Times New Roman" w:eastAsia="Times New Roman" w:hAnsi="Times New Roman" w:cs="Times New Roman"/>
      <w:b/>
      <w:bCs/>
      <w:i/>
      <w:iCs/>
      <w:sz w:val="26"/>
      <w:szCs w:val="26"/>
      <w:lang w:val="en-US"/>
    </w:rPr>
  </w:style>
  <w:style w:type="character" w:customStyle="1" w:styleId="Heading6Char">
    <w:name w:val="Heading 6 Char"/>
    <w:basedOn w:val="DefaultParagraphFont"/>
    <w:link w:val="Heading6"/>
    <w:rsid w:val="009B0D7A"/>
    <w:rPr>
      <w:rFonts w:ascii="Times New Roman" w:eastAsia="Times New Roman" w:hAnsi="Times New Roman" w:cs="Times New Roman"/>
      <w:sz w:val="24"/>
      <w:szCs w:val="24"/>
      <w:lang w:val="en-US"/>
    </w:rPr>
  </w:style>
  <w:style w:type="character" w:customStyle="1" w:styleId="Heading7Char">
    <w:name w:val="Heading 7 Char"/>
    <w:basedOn w:val="DefaultParagraphFont"/>
    <w:link w:val="Heading7"/>
    <w:rsid w:val="009B0D7A"/>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9B0D7A"/>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9B0D7A"/>
    <w:rPr>
      <w:rFonts w:ascii="Arial" w:eastAsia="Times New Roman" w:hAnsi="Arial" w:cs="Arial"/>
      <w:lang w:val="en-US"/>
    </w:rPr>
  </w:style>
  <w:style w:type="paragraph" w:styleId="ListParagraph">
    <w:name w:val="List Paragraph"/>
    <w:basedOn w:val="Normal"/>
    <w:uiPriority w:val="34"/>
    <w:qFormat/>
    <w:rsid w:val="009B0D7A"/>
    <w:pPr>
      <w:ind w:left="720"/>
      <w:contextualSpacing/>
    </w:pPr>
  </w:style>
  <w:style w:type="table" w:styleId="TableGrid">
    <w:name w:val="Table Grid"/>
    <w:basedOn w:val="TableNormal"/>
    <w:uiPriority w:val="59"/>
    <w:rsid w:val="00B543D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4B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4B3D"/>
  </w:style>
  <w:style w:type="paragraph" w:styleId="Footer">
    <w:name w:val="footer"/>
    <w:basedOn w:val="Normal"/>
    <w:link w:val="FooterChar"/>
    <w:uiPriority w:val="99"/>
    <w:unhideWhenUsed/>
    <w:rsid w:val="00914B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4B3D"/>
  </w:style>
  <w:style w:type="paragraph" w:styleId="BalloonText">
    <w:name w:val="Balloon Text"/>
    <w:basedOn w:val="Normal"/>
    <w:link w:val="BalloonTextChar"/>
    <w:uiPriority w:val="99"/>
    <w:semiHidden/>
    <w:unhideWhenUsed/>
    <w:rsid w:val="00914B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4B3D"/>
    <w:rPr>
      <w:rFonts w:ascii="Tahoma" w:hAnsi="Tahoma" w:cs="Tahoma"/>
      <w:sz w:val="16"/>
      <w:szCs w:val="16"/>
    </w:rPr>
  </w:style>
  <w:style w:type="paragraph" w:customStyle="1" w:styleId="Default">
    <w:name w:val="Default"/>
    <w:rsid w:val="00B90A15"/>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B90A15"/>
    <w:rPr>
      <w:color w:val="0000FF" w:themeColor="hyperlink"/>
      <w:u w:val="single"/>
    </w:rPr>
  </w:style>
  <w:style w:type="paragraph" w:styleId="EndnoteText">
    <w:name w:val="endnote text"/>
    <w:basedOn w:val="Normal"/>
    <w:link w:val="EndnoteTextChar"/>
    <w:uiPriority w:val="99"/>
    <w:semiHidden/>
    <w:unhideWhenUsed/>
    <w:rsid w:val="00F410D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410DB"/>
    <w:rPr>
      <w:sz w:val="20"/>
      <w:szCs w:val="20"/>
    </w:rPr>
  </w:style>
  <w:style w:type="character" w:styleId="EndnoteReference">
    <w:name w:val="endnote reference"/>
    <w:basedOn w:val="DefaultParagraphFont"/>
    <w:uiPriority w:val="99"/>
    <w:semiHidden/>
    <w:unhideWhenUsed/>
    <w:rsid w:val="00F410DB"/>
    <w:rPr>
      <w:vertAlign w:val="superscript"/>
    </w:rPr>
  </w:style>
  <w:style w:type="character" w:customStyle="1" w:styleId="gender">
    <w:name w:val="gender"/>
    <w:basedOn w:val="DefaultParagraphFont"/>
    <w:rsid w:val="002B30B5"/>
  </w:style>
  <w:style w:type="paragraph" w:customStyle="1" w:styleId="font-small">
    <w:name w:val="font-small"/>
    <w:basedOn w:val="Normal"/>
    <w:rsid w:val="002B30B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ype">
    <w:name w:val="type"/>
    <w:basedOn w:val="Normal"/>
    <w:rsid w:val="002B30B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2B30B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er1">
    <w:name w:val="Header1"/>
    <w:basedOn w:val="Normal"/>
    <w:rsid w:val="002B30B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F73E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3E43"/>
    <w:rPr>
      <w:sz w:val="20"/>
      <w:szCs w:val="20"/>
    </w:rPr>
  </w:style>
  <w:style w:type="character" w:styleId="FootnoteReference">
    <w:name w:val="footnote reference"/>
    <w:basedOn w:val="DefaultParagraphFont"/>
    <w:uiPriority w:val="99"/>
    <w:semiHidden/>
    <w:unhideWhenUsed/>
    <w:rsid w:val="00F73E43"/>
    <w:rPr>
      <w:vertAlign w:val="superscript"/>
    </w:rPr>
  </w:style>
  <w:style w:type="character" w:styleId="CommentReference">
    <w:name w:val="annotation reference"/>
    <w:basedOn w:val="DefaultParagraphFont"/>
    <w:uiPriority w:val="99"/>
    <w:semiHidden/>
    <w:unhideWhenUsed/>
    <w:rsid w:val="00CB40B2"/>
    <w:rPr>
      <w:sz w:val="16"/>
      <w:szCs w:val="16"/>
    </w:rPr>
  </w:style>
  <w:style w:type="paragraph" w:styleId="CommentText">
    <w:name w:val="annotation text"/>
    <w:basedOn w:val="Normal"/>
    <w:link w:val="CommentTextChar"/>
    <w:uiPriority w:val="99"/>
    <w:semiHidden/>
    <w:unhideWhenUsed/>
    <w:rsid w:val="00CB40B2"/>
    <w:pPr>
      <w:spacing w:line="240" w:lineRule="auto"/>
    </w:pPr>
    <w:rPr>
      <w:sz w:val="20"/>
      <w:szCs w:val="20"/>
    </w:rPr>
  </w:style>
  <w:style w:type="character" w:customStyle="1" w:styleId="CommentTextChar">
    <w:name w:val="Comment Text Char"/>
    <w:basedOn w:val="DefaultParagraphFont"/>
    <w:link w:val="CommentText"/>
    <w:uiPriority w:val="99"/>
    <w:semiHidden/>
    <w:rsid w:val="00CB40B2"/>
    <w:rPr>
      <w:sz w:val="20"/>
      <w:szCs w:val="20"/>
    </w:rPr>
  </w:style>
  <w:style w:type="paragraph" w:styleId="CommentSubject">
    <w:name w:val="annotation subject"/>
    <w:basedOn w:val="CommentText"/>
    <w:next w:val="CommentText"/>
    <w:link w:val="CommentSubjectChar"/>
    <w:uiPriority w:val="99"/>
    <w:semiHidden/>
    <w:unhideWhenUsed/>
    <w:rsid w:val="00CB40B2"/>
    <w:rPr>
      <w:b/>
      <w:bCs/>
    </w:rPr>
  </w:style>
  <w:style w:type="character" w:customStyle="1" w:styleId="CommentSubjectChar">
    <w:name w:val="Comment Subject Char"/>
    <w:basedOn w:val="CommentTextChar"/>
    <w:link w:val="CommentSubject"/>
    <w:uiPriority w:val="99"/>
    <w:semiHidden/>
    <w:rsid w:val="00CB40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6324">
      <w:bodyDiv w:val="1"/>
      <w:marLeft w:val="0"/>
      <w:marRight w:val="0"/>
      <w:marTop w:val="0"/>
      <w:marBottom w:val="0"/>
      <w:divBdr>
        <w:top w:val="none" w:sz="0" w:space="0" w:color="auto"/>
        <w:left w:val="none" w:sz="0" w:space="0" w:color="auto"/>
        <w:bottom w:val="none" w:sz="0" w:space="0" w:color="auto"/>
        <w:right w:val="none" w:sz="0" w:space="0" w:color="auto"/>
      </w:divBdr>
      <w:divsChild>
        <w:div w:id="556553695">
          <w:marLeft w:val="-225"/>
          <w:marRight w:val="-225"/>
          <w:marTop w:val="0"/>
          <w:marBottom w:val="0"/>
          <w:divBdr>
            <w:top w:val="none" w:sz="0" w:space="0" w:color="auto"/>
            <w:left w:val="none" w:sz="0" w:space="0" w:color="auto"/>
            <w:bottom w:val="none" w:sz="0" w:space="0" w:color="auto"/>
            <w:right w:val="none" w:sz="0" w:space="0" w:color="auto"/>
          </w:divBdr>
          <w:divsChild>
            <w:div w:id="1889145801">
              <w:marLeft w:val="0"/>
              <w:marRight w:val="0"/>
              <w:marTop w:val="0"/>
              <w:marBottom w:val="0"/>
              <w:divBdr>
                <w:top w:val="none" w:sz="0" w:space="0" w:color="auto"/>
                <w:left w:val="none" w:sz="0" w:space="0" w:color="auto"/>
                <w:bottom w:val="none" w:sz="0" w:space="0" w:color="auto"/>
                <w:right w:val="none" w:sz="0" w:space="0" w:color="auto"/>
              </w:divBdr>
              <w:divsChild>
                <w:div w:id="1878547449">
                  <w:marLeft w:val="0"/>
                  <w:marRight w:val="0"/>
                  <w:marTop w:val="0"/>
                  <w:marBottom w:val="0"/>
                  <w:divBdr>
                    <w:top w:val="none" w:sz="0" w:space="0" w:color="auto"/>
                    <w:left w:val="none" w:sz="0" w:space="0" w:color="auto"/>
                    <w:bottom w:val="none" w:sz="0" w:space="0" w:color="auto"/>
                    <w:right w:val="none" w:sz="0" w:space="0" w:color="auto"/>
                  </w:divBdr>
                </w:div>
              </w:divsChild>
            </w:div>
            <w:div w:id="2116435930">
              <w:marLeft w:val="0"/>
              <w:marRight w:val="0"/>
              <w:marTop w:val="0"/>
              <w:marBottom w:val="0"/>
              <w:divBdr>
                <w:top w:val="none" w:sz="0" w:space="0" w:color="auto"/>
                <w:left w:val="none" w:sz="0" w:space="0" w:color="auto"/>
                <w:bottom w:val="none" w:sz="0" w:space="0" w:color="auto"/>
                <w:right w:val="none" w:sz="0" w:space="0" w:color="auto"/>
              </w:divBdr>
              <w:divsChild>
                <w:div w:id="14427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341266">
          <w:marLeft w:val="-225"/>
          <w:marRight w:val="-225"/>
          <w:marTop w:val="0"/>
          <w:marBottom w:val="0"/>
          <w:divBdr>
            <w:top w:val="none" w:sz="0" w:space="0" w:color="auto"/>
            <w:left w:val="none" w:sz="0" w:space="0" w:color="auto"/>
            <w:bottom w:val="none" w:sz="0" w:space="0" w:color="auto"/>
            <w:right w:val="none" w:sz="0" w:space="0" w:color="auto"/>
          </w:divBdr>
          <w:divsChild>
            <w:div w:id="599991674">
              <w:marLeft w:val="0"/>
              <w:marRight w:val="0"/>
              <w:marTop w:val="0"/>
              <w:marBottom w:val="0"/>
              <w:divBdr>
                <w:top w:val="none" w:sz="0" w:space="0" w:color="auto"/>
                <w:left w:val="none" w:sz="0" w:space="0" w:color="auto"/>
                <w:bottom w:val="none" w:sz="0" w:space="0" w:color="auto"/>
                <w:right w:val="none" w:sz="0" w:space="0" w:color="auto"/>
              </w:divBdr>
              <w:divsChild>
                <w:div w:id="409155088">
                  <w:marLeft w:val="0"/>
                  <w:marRight w:val="0"/>
                  <w:marTop w:val="0"/>
                  <w:marBottom w:val="0"/>
                  <w:divBdr>
                    <w:top w:val="none" w:sz="0" w:space="0" w:color="auto"/>
                    <w:left w:val="none" w:sz="0" w:space="0" w:color="auto"/>
                    <w:bottom w:val="none" w:sz="0" w:space="0" w:color="auto"/>
                    <w:right w:val="none" w:sz="0" w:space="0" w:color="auto"/>
                  </w:divBdr>
                </w:div>
              </w:divsChild>
            </w:div>
            <w:div w:id="1218514692">
              <w:marLeft w:val="0"/>
              <w:marRight w:val="0"/>
              <w:marTop w:val="0"/>
              <w:marBottom w:val="0"/>
              <w:divBdr>
                <w:top w:val="none" w:sz="0" w:space="0" w:color="auto"/>
                <w:left w:val="none" w:sz="0" w:space="0" w:color="auto"/>
                <w:bottom w:val="none" w:sz="0" w:space="0" w:color="auto"/>
                <w:right w:val="none" w:sz="0" w:space="0" w:color="auto"/>
              </w:divBdr>
              <w:divsChild>
                <w:div w:id="169156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50345">
          <w:marLeft w:val="-225"/>
          <w:marRight w:val="-225"/>
          <w:marTop w:val="0"/>
          <w:marBottom w:val="0"/>
          <w:divBdr>
            <w:top w:val="none" w:sz="0" w:space="0" w:color="auto"/>
            <w:left w:val="none" w:sz="0" w:space="0" w:color="auto"/>
            <w:bottom w:val="none" w:sz="0" w:space="0" w:color="auto"/>
            <w:right w:val="none" w:sz="0" w:space="0" w:color="auto"/>
          </w:divBdr>
          <w:divsChild>
            <w:div w:id="232354454">
              <w:marLeft w:val="0"/>
              <w:marRight w:val="0"/>
              <w:marTop w:val="0"/>
              <w:marBottom w:val="0"/>
              <w:divBdr>
                <w:top w:val="none" w:sz="0" w:space="0" w:color="auto"/>
                <w:left w:val="none" w:sz="0" w:space="0" w:color="auto"/>
                <w:bottom w:val="none" w:sz="0" w:space="0" w:color="auto"/>
                <w:right w:val="none" w:sz="0" w:space="0" w:color="auto"/>
              </w:divBdr>
              <w:divsChild>
                <w:div w:id="1468549125">
                  <w:marLeft w:val="0"/>
                  <w:marRight w:val="0"/>
                  <w:marTop w:val="0"/>
                  <w:marBottom w:val="0"/>
                  <w:divBdr>
                    <w:top w:val="none" w:sz="0" w:space="0" w:color="auto"/>
                    <w:left w:val="none" w:sz="0" w:space="0" w:color="auto"/>
                    <w:bottom w:val="none" w:sz="0" w:space="0" w:color="auto"/>
                    <w:right w:val="none" w:sz="0" w:space="0" w:color="auto"/>
                  </w:divBdr>
                </w:div>
              </w:divsChild>
            </w:div>
            <w:div w:id="2062359292">
              <w:marLeft w:val="0"/>
              <w:marRight w:val="0"/>
              <w:marTop w:val="0"/>
              <w:marBottom w:val="0"/>
              <w:divBdr>
                <w:top w:val="none" w:sz="0" w:space="0" w:color="auto"/>
                <w:left w:val="none" w:sz="0" w:space="0" w:color="auto"/>
                <w:bottom w:val="none" w:sz="0" w:space="0" w:color="auto"/>
                <w:right w:val="none" w:sz="0" w:space="0" w:color="auto"/>
              </w:divBdr>
              <w:divsChild>
                <w:div w:id="178653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070972">
          <w:marLeft w:val="-225"/>
          <w:marRight w:val="-225"/>
          <w:marTop w:val="0"/>
          <w:marBottom w:val="0"/>
          <w:divBdr>
            <w:top w:val="none" w:sz="0" w:space="0" w:color="auto"/>
            <w:left w:val="none" w:sz="0" w:space="0" w:color="auto"/>
            <w:bottom w:val="none" w:sz="0" w:space="0" w:color="auto"/>
            <w:right w:val="none" w:sz="0" w:space="0" w:color="auto"/>
          </w:divBdr>
          <w:divsChild>
            <w:div w:id="621307718">
              <w:marLeft w:val="0"/>
              <w:marRight w:val="0"/>
              <w:marTop w:val="0"/>
              <w:marBottom w:val="0"/>
              <w:divBdr>
                <w:top w:val="none" w:sz="0" w:space="0" w:color="auto"/>
                <w:left w:val="none" w:sz="0" w:space="0" w:color="auto"/>
                <w:bottom w:val="none" w:sz="0" w:space="0" w:color="auto"/>
                <w:right w:val="none" w:sz="0" w:space="0" w:color="auto"/>
              </w:divBdr>
              <w:divsChild>
                <w:div w:id="252788117">
                  <w:marLeft w:val="0"/>
                  <w:marRight w:val="0"/>
                  <w:marTop w:val="0"/>
                  <w:marBottom w:val="0"/>
                  <w:divBdr>
                    <w:top w:val="none" w:sz="0" w:space="0" w:color="auto"/>
                    <w:left w:val="none" w:sz="0" w:space="0" w:color="auto"/>
                    <w:bottom w:val="none" w:sz="0" w:space="0" w:color="auto"/>
                    <w:right w:val="none" w:sz="0" w:space="0" w:color="auto"/>
                  </w:divBdr>
                </w:div>
              </w:divsChild>
            </w:div>
            <w:div w:id="1764064438">
              <w:marLeft w:val="0"/>
              <w:marRight w:val="0"/>
              <w:marTop w:val="0"/>
              <w:marBottom w:val="0"/>
              <w:divBdr>
                <w:top w:val="none" w:sz="0" w:space="0" w:color="auto"/>
                <w:left w:val="none" w:sz="0" w:space="0" w:color="auto"/>
                <w:bottom w:val="none" w:sz="0" w:space="0" w:color="auto"/>
                <w:right w:val="none" w:sz="0" w:space="0" w:color="auto"/>
              </w:divBdr>
              <w:divsChild>
                <w:div w:id="159581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0944">
      <w:bodyDiv w:val="1"/>
      <w:marLeft w:val="0"/>
      <w:marRight w:val="0"/>
      <w:marTop w:val="0"/>
      <w:marBottom w:val="0"/>
      <w:divBdr>
        <w:top w:val="none" w:sz="0" w:space="0" w:color="auto"/>
        <w:left w:val="none" w:sz="0" w:space="0" w:color="auto"/>
        <w:bottom w:val="none" w:sz="0" w:space="0" w:color="auto"/>
        <w:right w:val="none" w:sz="0" w:space="0" w:color="auto"/>
      </w:divBdr>
    </w:div>
    <w:div w:id="81414923">
      <w:bodyDiv w:val="1"/>
      <w:marLeft w:val="0"/>
      <w:marRight w:val="0"/>
      <w:marTop w:val="0"/>
      <w:marBottom w:val="0"/>
      <w:divBdr>
        <w:top w:val="none" w:sz="0" w:space="0" w:color="auto"/>
        <w:left w:val="none" w:sz="0" w:space="0" w:color="auto"/>
        <w:bottom w:val="none" w:sz="0" w:space="0" w:color="auto"/>
        <w:right w:val="none" w:sz="0" w:space="0" w:color="auto"/>
      </w:divBdr>
    </w:div>
    <w:div w:id="169569500">
      <w:bodyDiv w:val="1"/>
      <w:marLeft w:val="0"/>
      <w:marRight w:val="0"/>
      <w:marTop w:val="0"/>
      <w:marBottom w:val="0"/>
      <w:divBdr>
        <w:top w:val="none" w:sz="0" w:space="0" w:color="auto"/>
        <w:left w:val="none" w:sz="0" w:space="0" w:color="auto"/>
        <w:bottom w:val="none" w:sz="0" w:space="0" w:color="auto"/>
        <w:right w:val="none" w:sz="0" w:space="0" w:color="auto"/>
      </w:divBdr>
    </w:div>
    <w:div w:id="333917319">
      <w:bodyDiv w:val="1"/>
      <w:marLeft w:val="0"/>
      <w:marRight w:val="0"/>
      <w:marTop w:val="0"/>
      <w:marBottom w:val="0"/>
      <w:divBdr>
        <w:top w:val="none" w:sz="0" w:space="0" w:color="auto"/>
        <w:left w:val="none" w:sz="0" w:space="0" w:color="auto"/>
        <w:bottom w:val="none" w:sz="0" w:space="0" w:color="auto"/>
        <w:right w:val="none" w:sz="0" w:space="0" w:color="auto"/>
      </w:divBdr>
    </w:div>
    <w:div w:id="337317735">
      <w:bodyDiv w:val="1"/>
      <w:marLeft w:val="0"/>
      <w:marRight w:val="0"/>
      <w:marTop w:val="0"/>
      <w:marBottom w:val="0"/>
      <w:divBdr>
        <w:top w:val="none" w:sz="0" w:space="0" w:color="auto"/>
        <w:left w:val="none" w:sz="0" w:space="0" w:color="auto"/>
        <w:bottom w:val="none" w:sz="0" w:space="0" w:color="auto"/>
        <w:right w:val="none" w:sz="0" w:space="0" w:color="auto"/>
      </w:divBdr>
    </w:div>
    <w:div w:id="337579534">
      <w:bodyDiv w:val="1"/>
      <w:marLeft w:val="0"/>
      <w:marRight w:val="0"/>
      <w:marTop w:val="0"/>
      <w:marBottom w:val="0"/>
      <w:divBdr>
        <w:top w:val="none" w:sz="0" w:space="0" w:color="auto"/>
        <w:left w:val="none" w:sz="0" w:space="0" w:color="auto"/>
        <w:bottom w:val="none" w:sz="0" w:space="0" w:color="auto"/>
        <w:right w:val="none" w:sz="0" w:space="0" w:color="auto"/>
      </w:divBdr>
    </w:div>
    <w:div w:id="351807266">
      <w:bodyDiv w:val="1"/>
      <w:marLeft w:val="0"/>
      <w:marRight w:val="0"/>
      <w:marTop w:val="0"/>
      <w:marBottom w:val="0"/>
      <w:divBdr>
        <w:top w:val="none" w:sz="0" w:space="0" w:color="auto"/>
        <w:left w:val="none" w:sz="0" w:space="0" w:color="auto"/>
        <w:bottom w:val="none" w:sz="0" w:space="0" w:color="auto"/>
        <w:right w:val="none" w:sz="0" w:space="0" w:color="auto"/>
      </w:divBdr>
    </w:div>
    <w:div w:id="364647130">
      <w:bodyDiv w:val="1"/>
      <w:marLeft w:val="0"/>
      <w:marRight w:val="0"/>
      <w:marTop w:val="0"/>
      <w:marBottom w:val="0"/>
      <w:divBdr>
        <w:top w:val="none" w:sz="0" w:space="0" w:color="auto"/>
        <w:left w:val="none" w:sz="0" w:space="0" w:color="auto"/>
        <w:bottom w:val="none" w:sz="0" w:space="0" w:color="auto"/>
        <w:right w:val="none" w:sz="0" w:space="0" w:color="auto"/>
      </w:divBdr>
    </w:div>
    <w:div w:id="560869155">
      <w:bodyDiv w:val="1"/>
      <w:marLeft w:val="0"/>
      <w:marRight w:val="0"/>
      <w:marTop w:val="0"/>
      <w:marBottom w:val="0"/>
      <w:divBdr>
        <w:top w:val="none" w:sz="0" w:space="0" w:color="auto"/>
        <w:left w:val="none" w:sz="0" w:space="0" w:color="auto"/>
        <w:bottom w:val="none" w:sz="0" w:space="0" w:color="auto"/>
        <w:right w:val="none" w:sz="0" w:space="0" w:color="auto"/>
      </w:divBdr>
    </w:div>
    <w:div w:id="676158136">
      <w:bodyDiv w:val="1"/>
      <w:marLeft w:val="0"/>
      <w:marRight w:val="0"/>
      <w:marTop w:val="0"/>
      <w:marBottom w:val="0"/>
      <w:divBdr>
        <w:top w:val="none" w:sz="0" w:space="0" w:color="auto"/>
        <w:left w:val="none" w:sz="0" w:space="0" w:color="auto"/>
        <w:bottom w:val="none" w:sz="0" w:space="0" w:color="auto"/>
        <w:right w:val="none" w:sz="0" w:space="0" w:color="auto"/>
      </w:divBdr>
    </w:div>
    <w:div w:id="690911324">
      <w:bodyDiv w:val="1"/>
      <w:marLeft w:val="0"/>
      <w:marRight w:val="0"/>
      <w:marTop w:val="0"/>
      <w:marBottom w:val="0"/>
      <w:divBdr>
        <w:top w:val="none" w:sz="0" w:space="0" w:color="auto"/>
        <w:left w:val="none" w:sz="0" w:space="0" w:color="auto"/>
        <w:bottom w:val="none" w:sz="0" w:space="0" w:color="auto"/>
        <w:right w:val="none" w:sz="0" w:space="0" w:color="auto"/>
      </w:divBdr>
    </w:div>
    <w:div w:id="716471584">
      <w:bodyDiv w:val="1"/>
      <w:marLeft w:val="0"/>
      <w:marRight w:val="0"/>
      <w:marTop w:val="0"/>
      <w:marBottom w:val="0"/>
      <w:divBdr>
        <w:top w:val="none" w:sz="0" w:space="0" w:color="auto"/>
        <w:left w:val="none" w:sz="0" w:space="0" w:color="auto"/>
        <w:bottom w:val="none" w:sz="0" w:space="0" w:color="auto"/>
        <w:right w:val="none" w:sz="0" w:space="0" w:color="auto"/>
      </w:divBdr>
    </w:div>
    <w:div w:id="931663835">
      <w:bodyDiv w:val="1"/>
      <w:marLeft w:val="120"/>
      <w:marRight w:val="120"/>
      <w:marTop w:val="0"/>
      <w:marBottom w:val="0"/>
      <w:divBdr>
        <w:top w:val="none" w:sz="0" w:space="0" w:color="auto"/>
        <w:left w:val="none" w:sz="0" w:space="0" w:color="auto"/>
        <w:bottom w:val="none" w:sz="0" w:space="0" w:color="auto"/>
        <w:right w:val="none" w:sz="0" w:space="0" w:color="auto"/>
      </w:divBdr>
      <w:divsChild>
        <w:div w:id="78261920">
          <w:marLeft w:val="0"/>
          <w:marRight w:val="0"/>
          <w:marTop w:val="0"/>
          <w:marBottom w:val="0"/>
          <w:divBdr>
            <w:top w:val="none" w:sz="0" w:space="0" w:color="auto"/>
            <w:left w:val="none" w:sz="0" w:space="0" w:color="auto"/>
            <w:bottom w:val="none" w:sz="0" w:space="0" w:color="auto"/>
            <w:right w:val="none" w:sz="0" w:space="0" w:color="auto"/>
          </w:divBdr>
          <w:divsChild>
            <w:div w:id="199783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257594">
      <w:bodyDiv w:val="1"/>
      <w:marLeft w:val="0"/>
      <w:marRight w:val="0"/>
      <w:marTop w:val="0"/>
      <w:marBottom w:val="0"/>
      <w:divBdr>
        <w:top w:val="none" w:sz="0" w:space="0" w:color="auto"/>
        <w:left w:val="none" w:sz="0" w:space="0" w:color="auto"/>
        <w:bottom w:val="none" w:sz="0" w:space="0" w:color="auto"/>
        <w:right w:val="none" w:sz="0" w:space="0" w:color="auto"/>
      </w:divBdr>
    </w:div>
    <w:div w:id="1205361744">
      <w:bodyDiv w:val="1"/>
      <w:marLeft w:val="0"/>
      <w:marRight w:val="0"/>
      <w:marTop w:val="0"/>
      <w:marBottom w:val="0"/>
      <w:divBdr>
        <w:top w:val="none" w:sz="0" w:space="0" w:color="auto"/>
        <w:left w:val="none" w:sz="0" w:space="0" w:color="auto"/>
        <w:bottom w:val="none" w:sz="0" w:space="0" w:color="auto"/>
        <w:right w:val="none" w:sz="0" w:space="0" w:color="auto"/>
      </w:divBdr>
    </w:div>
    <w:div w:id="1328939405">
      <w:bodyDiv w:val="1"/>
      <w:marLeft w:val="0"/>
      <w:marRight w:val="0"/>
      <w:marTop w:val="0"/>
      <w:marBottom w:val="0"/>
      <w:divBdr>
        <w:top w:val="none" w:sz="0" w:space="0" w:color="auto"/>
        <w:left w:val="none" w:sz="0" w:space="0" w:color="auto"/>
        <w:bottom w:val="none" w:sz="0" w:space="0" w:color="auto"/>
        <w:right w:val="none" w:sz="0" w:space="0" w:color="auto"/>
      </w:divBdr>
    </w:div>
    <w:div w:id="1334265409">
      <w:bodyDiv w:val="1"/>
      <w:marLeft w:val="0"/>
      <w:marRight w:val="0"/>
      <w:marTop w:val="0"/>
      <w:marBottom w:val="0"/>
      <w:divBdr>
        <w:top w:val="none" w:sz="0" w:space="0" w:color="auto"/>
        <w:left w:val="none" w:sz="0" w:space="0" w:color="auto"/>
        <w:bottom w:val="none" w:sz="0" w:space="0" w:color="auto"/>
        <w:right w:val="none" w:sz="0" w:space="0" w:color="auto"/>
      </w:divBdr>
    </w:div>
    <w:div w:id="1399784415">
      <w:bodyDiv w:val="1"/>
      <w:marLeft w:val="0"/>
      <w:marRight w:val="0"/>
      <w:marTop w:val="0"/>
      <w:marBottom w:val="0"/>
      <w:divBdr>
        <w:top w:val="none" w:sz="0" w:space="0" w:color="auto"/>
        <w:left w:val="none" w:sz="0" w:space="0" w:color="auto"/>
        <w:bottom w:val="none" w:sz="0" w:space="0" w:color="auto"/>
        <w:right w:val="none" w:sz="0" w:space="0" w:color="auto"/>
      </w:divBdr>
    </w:div>
    <w:div w:id="1521891124">
      <w:bodyDiv w:val="1"/>
      <w:marLeft w:val="0"/>
      <w:marRight w:val="0"/>
      <w:marTop w:val="0"/>
      <w:marBottom w:val="0"/>
      <w:divBdr>
        <w:top w:val="none" w:sz="0" w:space="0" w:color="auto"/>
        <w:left w:val="none" w:sz="0" w:space="0" w:color="auto"/>
        <w:bottom w:val="none" w:sz="0" w:space="0" w:color="auto"/>
        <w:right w:val="none" w:sz="0" w:space="0" w:color="auto"/>
      </w:divBdr>
    </w:div>
    <w:div w:id="1620912309">
      <w:bodyDiv w:val="1"/>
      <w:marLeft w:val="0"/>
      <w:marRight w:val="0"/>
      <w:marTop w:val="0"/>
      <w:marBottom w:val="0"/>
      <w:divBdr>
        <w:top w:val="none" w:sz="0" w:space="0" w:color="auto"/>
        <w:left w:val="none" w:sz="0" w:space="0" w:color="auto"/>
        <w:bottom w:val="none" w:sz="0" w:space="0" w:color="auto"/>
        <w:right w:val="none" w:sz="0" w:space="0" w:color="auto"/>
      </w:divBdr>
      <w:divsChild>
        <w:div w:id="1780907553">
          <w:marLeft w:val="0"/>
          <w:marRight w:val="0"/>
          <w:marTop w:val="0"/>
          <w:marBottom w:val="0"/>
          <w:divBdr>
            <w:top w:val="none" w:sz="0" w:space="0" w:color="auto"/>
            <w:left w:val="none" w:sz="0" w:space="0" w:color="auto"/>
            <w:bottom w:val="none" w:sz="0" w:space="0" w:color="auto"/>
            <w:right w:val="none" w:sz="0" w:space="0" w:color="auto"/>
          </w:divBdr>
          <w:divsChild>
            <w:div w:id="376928824">
              <w:marLeft w:val="-225"/>
              <w:marRight w:val="-225"/>
              <w:marTop w:val="0"/>
              <w:marBottom w:val="0"/>
              <w:divBdr>
                <w:top w:val="none" w:sz="0" w:space="0" w:color="auto"/>
                <w:left w:val="none" w:sz="0" w:space="0" w:color="auto"/>
                <w:bottom w:val="none" w:sz="0" w:space="0" w:color="auto"/>
                <w:right w:val="none" w:sz="0" w:space="0" w:color="auto"/>
              </w:divBdr>
              <w:divsChild>
                <w:div w:id="151907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030434">
      <w:bodyDiv w:val="1"/>
      <w:marLeft w:val="0"/>
      <w:marRight w:val="0"/>
      <w:marTop w:val="0"/>
      <w:marBottom w:val="0"/>
      <w:divBdr>
        <w:top w:val="none" w:sz="0" w:space="0" w:color="auto"/>
        <w:left w:val="none" w:sz="0" w:space="0" w:color="auto"/>
        <w:bottom w:val="none" w:sz="0" w:space="0" w:color="auto"/>
        <w:right w:val="none" w:sz="0" w:space="0" w:color="auto"/>
      </w:divBdr>
    </w:div>
    <w:div w:id="1816798116">
      <w:bodyDiv w:val="1"/>
      <w:marLeft w:val="0"/>
      <w:marRight w:val="0"/>
      <w:marTop w:val="0"/>
      <w:marBottom w:val="0"/>
      <w:divBdr>
        <w:top w:val="none" w:sz="0" w:space="0" w:color="auto"/>
        <w:left w:val="none" w:sz="0" w:space="0" w:color="auto"/>
        <w:bottom w:val="none" w:sz="0" w:space="0" w:color="auto"/>
        <w:right w:val="none" w:sz="0" w:space="0" w:color="auto"/>
      </w:divBdr>
    </w:div>
    <w:div w:id="1901404266">
      <w:bodyDiv w:val="1"/>
      <w:marLeft w:val="0"/>
      <w:marRight w:val="0"/>
      <w:marTop w:val="0"/>
      <w:marBottom w:val="0"/>
      <w:divBdr>
        <w:top w:val="none" w:sz="0" w:space="0" w:color="auto"/>
        <w:left w:val="none" w:sz="0" w:space="0" w:color="auto"/>
        <w:bottom w:val="none" w:sz="0" w:space="0" w:color="auto"/>
        <w:right w:val="none" w:sz="0" w:space="0" w:color="auto"/>
      </w:divBdr>
      <w:divsChild>
        <w:div w:id="1403213880">
          <w:marLeft w:val="-225"/>
          <w:marRight w:val="-225"/>
          <w:marTop w:val="0"/>
          <w:marBottom w:val="0"/>
          <w:divBdr>
            <w:top w:val="none" w:sz="0" w:space="0" w:color="auto"/>
            <w:left w:val="none" w:sz="0" w:space="0" w:color="auto"/>
            <w:bottom w:val="none" w:sz="0" w:space="0" w:color="auto"/>
            <w:right w:val="none" w:sz="0" w:space="0" w:color="auto"/>
          </w:divBdr>
          <w:divsChild>
            <w:div w:id="500202754">
              <w:marLeft w:val="0"/>
              <w:marRight w:val="0"/>
              <w:marTop w:val="0"/>
              <w:marBottom w:val="0"/>
              <w:divBdr>
                <w:top w:val="none" w:sz="0" w:space="0" w:color="auto"/>
                <w:left w:val="none" w:sz="0" w:space="0" w:color="auto"/>
                <w:bottom w:val="none" w:sz="0" w:space="0" w:color="auto"/>
                <w:right w:val="none" w:sz="0" w:space="0" w:color="auto"/>
              </w:divBdr>
              <w:divsChild>
                <w:div w:id="874316734">
                  <w:marLeft w:val="0"/>
                  <w:marRight w:val="0"/>
                  <w:marTop w:val="0"/>
                  <w:marBottom w:val="0"/>
                  <w:divBdr>
                    <w:top w:val="none" w:sz="0" w:space="0" w:color="auto"/>
                    <w:left w:val="none" w:sz="0" w:space="0" w:color="auto"/>
                    <w:bottom w:val="none" w:sz="0" w:space="0" w:color="auto"/>
                    <w:right w:val="none" w:sz="0" w:space="0" w:color="auto"/>
                  </w:divBdr>
                </w:div>
              </w:divsChild>
            </w:div>
            <w:div w:id="568267341">
              <w:marLeft w:val="0"/>
              <w:marRight w:val="0"/>
              <w:marTop w:val="0"/>
              <w:marBottom w:val="0"/>
              <w:divBdr>
                <w:top w:val="none" w:sz="0" w:space="0" w:color="auto"/>
                <w:left w:val="none" w:sz="0" w:space="0" w:color="auto"/>
                <w:bottom w:val="none" w:sz="0" w:space="0" w:color="auto"/>
                <w:right w:val="none" w:sz="0" w:space="0" w:color="auto"/>
              </w:divBdr>
              <w:divsChild>
                <w:div w:id="211119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389951">
      <w:bodyDiv w:val="1"/>
      <w:marLeft w:val="0"/>
      <w:marRight w:val="0"/>
      <w:marTop w:val="0"/>
      <w:marBottom w:val="0"/>
      <w:divBdr>
        <w:top w:val="none" w:sz="0" w:space="0" w:color="auto"/>
        <w:left w:val="none" w:sz="0" w:space="0" w:color="auto"/>
        <w:bottom w:val="none" w:sz="0" w:space="0" w:color="auto"/>
        <w:right w:val="none" w:sz="0" w:space="0" w:color="auto"/>
      </w:divBdr>
    </w:div>
    <w:div w:id="1960378473">
      <w:bodyDiv w:val="1"/>
      <w:marLeft w:val="0"/>
      <w:marRight w:val="0"/>
      <w:marTop w:val="0"/>
      <w:marBottom w:val="0"/>
      <w:divBdr>
        <w:top w:val="none" w:sz="0" w:space="0" w:color="auto"/>
        <w:left w:val="none" w:sz="0" w:space="0" w:color="auto"/>
        <w:bottom w:val="none" w:sz="0" w:space="0" w:color="auto"/>
        <w:right w:val="none" w:sz="0" w:space="0" w:color="auto"/>
      </w:divBdr>
    </w:div>
    <w:div w:id="1996295836">
      <w:bodyDiv w:val="1"/>
      <w:marLeft w:val="0"/>
      <w:marRight w:val="0"/>
      <w:marTop w:val="0"/>
      <w:marBottom w:val="0"/>
      <w:divBdr>
        <w:top w:val="none" w:sz="0" w:space="0" w:color="auto"/>
        <w:left w:val="none" w:sz="0" w:space="0" w:color="auto"/>
        <w:bottom w:val="none" w:sz="0" w:space="0" w:color="auto"/>
        <w:right w:val="none" w:sz="0" w:space="0" w:color="auto"/>
      </w:divBdr>
    </w:div>
    <w:div w:id="2000693239">
      <w:bodyDiv w:val="1"/>
      <w:marLeft w:val="0"/>
      <w:marRight w:val="0"/>
      <w:marTop w:val="0"/>
      <w:marBottom w:val="0"/>
      <w:divBdr>
        <w:top w:val="none" w:sz="0" w:space="0" w:color="auto"/>
        <w:left w:val="none" w:sz="0" w:space="0" w:color="auto"/>
        <w:bottom w:val="none" w:sz="0" w:space="0" w:color="auto"/>
        <w:right w:val="none" w:sz="0" w:space="0" w:color="auto"/>
      </w:divBdr>
    </w:div>
    <w:div w:id="211671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Excel_Worksheet2.xlsx"/><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package" Target="embeddings/Microsoft_Excel_Worksheet6.xlsx"/><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package" Target="embeddings/Microsoft_Excel_Worksheet4.xls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Excel_Worksheet1.xlsx"/><Relationship Id="rId5" Type="http://schemas.openxmlformats.org/officeDocument/2006/relationships/settings" Target="settings.xml"/><Relationship Id="rId15" Type="http://schemas.openxmlformats.org/officeDocument/2006/relationships/package" Target="embeddings/Microsoft_Excel_Worksheet3.xlsx"/><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package" Target="embeddings/Microsoft_Excel_Worksheet5.xlsx"/><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emf"/><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nhsemployers.org/-/media/Employers/Documents/Pay-and-reward/Gender-pay-gap-reporting---2-March.pdf?la=en&amp;hash=FE3D7AED4EBAB7D606B40A5D5CDDF0CB0F7E1C39" TargetMode="External"/><Relationship Id="rId2" Type="http://schemas.openxmlformats.org/officeDocument/2006/relationships/hyperlink" Target="http://www.acas.org.uk/index.aspx?articleid=5768" TargetMode="External"/><Relationship Id="rId1" Type="http://schemas.openxmlformats.org/officeDocument/2006/relationships/hyperlink" Target="http://www.nhsemployers.org/-/media/Employers/Documents/Pay-and-reward/Gender-pay-gap-reporting---2-March.pdf?la=en&amp;hash=FE3D7AED4EBAB7D606B40A5D5CDDF0CB0F7E1C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B78C9-BBBF-4FFB-A478-2741EA0A0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1662</Words>
  <Characters>9480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Queen Victoria Hospital</Company>
  <LinksUpToDate>false</LinksUpToDate>
  <CharactersWithSpaces>11120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AVizulis</dc:creator>
  <cp:lastModifiedBy>DHurrell</cp:lastModifiedBy>
  <cp:revision>8</cp:revision>
  <cp:lastPrinted>2016-09-28T12:46:00Z</cp:lastPrinted>
  <dcterms:created xsi:type="dcterms:W3CDTF">2019-03-29T10:07:00Z</dcterms:created>
  <dcterms:modified xsi:type="dcterms:W3CDTF">2019-03-29T10:13:00Z</dcterms:modified>
</cp:coreProperties>
</file>