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8"/>
      </w:tblGrid>
      <w:tr w:rsidR="00C51D38" w:rsidRPr="00C51D38" w14:paraId="43132639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2EFC2DC" w14:textId="77777777" w:rsidR="00C51D38" w:rsidRPr="00C51D38" w:rsidRDefault="00C51D38" w:rsidP="00340A66">
            <w:pPr>
              <w:pStyle w:val="Heading1"/>
              <w:rPr>
                <w:color w:val="FFFFFF"/>
                <w:szCs w:val="22"/>
              </w:rPr>
            </w:pPr>
            <w:r w:rsidRPr="00A85ED4">
              <w:rPr>
                <w:color w:val="FFFFFF"/>
                <w:sz w:val="22"/>
              </w:rPr>
              <w:t>T</w:t>
            </w:r>
            <w:r w:rsidR="0060176E" w:rsidRPr="00A85ED4">
              <w:rPr>
                <w:color w:val="FFFFFF"/>
                <w:sz w:val="22"/>
              </w:rPr>
              <w:t>erms of reference</w:t>
            </w:r>
            <w:r w:rsidR="00340A66">
              <w:rPr>
                <w:color w:val="FFFFFF"/>
                <w:sz w:val="22"/>
              </w:rPr>
              <w:br/>
            </w:r>
          </w:p>
        </w:tc>
      </w:tr>
      <w:tr w:rsidR="00C51D38" w:rsidRPr="00C51D38" w14:paraId="4499DBC3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AE2A4E" w14:textId="77777777" w:rsidR="00C51D38" w:rsidRPr="00C51D38" w:rsidRDefault="006410DB" w:rsidP="0060176E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 xml:space="preserve">Name of </w:t>
            </w:r>
            <w:r w:rsidR="0060176E">
              <w:rPr>
                <w:color w:val="FFFFFF"/>
                <w:szCs w:val="22"/>
              </w:rPr>
              <w:t>governance body</w:t>
            </w:r>
            <w:r w:rsidR="00C51D38" w:rsidRPr="00C51D38">
              <w:rPr>
                <w:color w:val="FFFFFF"/>
                <w:szCs w:val="22"/>
              </w:rPr>
              <w:t xml:space="preserve">   </w:t>
            </w:r>
          </w:p>
        </w:tc>
      </w:tr>
      <w:tr w:rsidR="00644B70" w:rsidRPr="005B7922" w14:paraId="0E1C1E78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11E" w14:textId="6619D068" w:rsidR="006410DB" w:rsidRPr="00485A2F" w:rsidRDefault="00E962D9" w:rsidP="005B47BE">
            <w:pPr>
              <w:spacing w:after="120"/>
            </w:pPr>
            <w:r w:rsidRPr="00485A2F">
              <w:rPr>
                <w:rFonts w:ascii="Arial" w:hAnsi="Arial" w:cs="Arial"/>
                <w:bCs/>
                <w:sz w:val="22"/>
                <w:szCs w:val="22"/>
              </w:rPr>
              <w:t xml:space="preserve">Nomination </w:t>
            </w:r>
            <w:r w:rsidR="00214AA7" w:rsidRPr="00485A2F">
              <w:rPr>
                <w:rFonts w:ascii="Arial" w:hAnsi="Arial" w:cs="Arial"/>
                <w:bCs/>
                <w:sz w:val="22"/>
                <w:szCs w:val="22"/>
              </w:rPr>
              <w:t>and R</w:t>
            </w:r>
            <w:r w:rsidRPr="00485A2F">
              <w:rPr>
                <w:rFonts w:ascii="Arial" w:hAnsi="Arial" w:cs="Arial"/>
                <w:bCs/>
                <w:sz w:val="22"/>
                <w:szCs w:val="22"/>
              </w:rPr>
              <w:t>emuneration Co</w:t>
            </w:r>
            <w:r w:rsidR="00214AA7" w:rsidRPr="00485A2F">
              <w:rPr>
                <w:rFonts w:ascii="Arial" w:hAnsi="Arial" w:cs="Arial"/>
                <w:bCs/>
                <w:sz w:val="22"/>
                <w:szCs w:val="22"/>
              </w:rPr>
              <w:t>mmittee</w:t>
            </w:r>
          </w:p>
        </w:tc>
      </w:tr>
      <w:tr w:rsidR="0060176E" w:rsidRPr="00C51D38" w14:paraId="39D91730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C98AA7" w14:textId="77777777" w:rsidR="0060176E" w:rsidRPr="00C51D38" w:rsidRDefault="0060176E" w:rsidP="00CE7FEB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 xml:space="preserve">Constitution </w:t>
            </w:r>
          </w:p>
        </w:tc>
      </w:tr>
      <w:tr w:rsidR="0060176E" w:rsidRPr="005B7922" w14:paraId="44F9A8C4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334" w14:textId="77777777" w:rsidR="00214AA7" w:rsidRPr="009A42DD" w:rsidRDefault="00340DF8" w:rsidP="00D41ACD">
            <w:p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Nomination and remuneration c</w:t>
            </w:r>
            <w:r w:rsidR="00D41ACD">
              <w:rPr>
                <w:rFonts w:ascii="Arial" w:hAnsi="Arial" w:cs="Arial"/>
                <w:sz w:val="22"/>
                <w:szCs w:val="22"/>
              </w:rPr>
              <w:t>ommittee (the C</w:t>
            </w:r>
            <w:r w:rsidR="00C06CB7" w:rsidRPr="003B60D9">
              <w:rPr>
                <w:rFonts w:ascii="Arial" w:hAnsi="Arial" w:cs="Arial"/>
                <w:sz w:val="22"/>
                <w:szCs w:val="22"/>
              </w:rPr>
              <w:t xml:space="preserve">ommittee) is constituted as a 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>statutory</w:t>
            </w:r>
            <w:r w:rsidR="00214AA7" w:rsidRPr="003B60D9">
              <w:rPr>
                <w:rFonts w:ascii="Arial" w:hAnsi="Arial" w:cs="Arial"/>
                <w:sz w:val="22"/>
                <w:szCs w:val="22"/>
              </w:rPr>
              <w:t xml:space="preserve"> non-executive </w:t>
            </w:r>
            <w:r w:rsidR="00C06CB7" w:rsidRPr="003B60D9">
              <w:rPr>
                <w:rFonts w:ascii="Arial" w:hAnsi="Arial" w:cs="Arial"/>
                <w:sz w:val="22"/>
                <w:szCs w:val="22"/>
              </w:rPr>
              <w:t xml:space="preserve">committee of the </w:t>
            </w:r>
            <w:r w:rsidR="00D41ACD">
              <w:rPr>
                <w:rFonts w:ascii="Arial" w:hAnsi="Arial" w:cs="Arial"/>
                <w:sz w:val="22"/>
                <w:szCs w:val="22"/>
              </w:rPr>
              <w:t xml:space="preserve">Trust’s Board of Directors. </w:t>
            </w:r>
          </w:p>
        </w:tc>
      </w:tr>
      <w:tr w:rsidR="0060176E" w:rsidRPr="00C51D38" w14:paraId="1129DAAD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CC501A" w14:textId="77777777" w:rsidR="0060176E" w:rsidRPr="00C51D38" w:rsidRDefault="0060176E" w:rsidP="00CE7FEB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>Accountability</w:t>
            </w:r>
          </w:p>
        </w:tc>
      </w:tr>
      <w:tr w:rsidR="0060176E" w:rsidRPr="005B7922" w14:paraId="1069EEDA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18A" w14:textId="77777777" w:rsidR="000822E9" w:rsidRDefault="000822E9" w:rsidP="00CE7FEB">
            <w:pPr>
              <w:rPr>
                <w:rFonts w:ascii="Arial" w:hAnsi="Arial" w:cs="Arial"/>
                <w:sz w:val="22"/>
                <w:szCs w:val="22"/>
              </w:rPr>
            </w:pPr>
            <w:r w:rsidRPr="003B60D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41ACD">
              <w:rPr>
                <w:rFonts w:ascii="Arial" w:hAnsi="Arial" w:cs="Arial"/>
                <w:sz w:val="22"/>
                <w:szCs w:val="22"/>
              </w:rPr>
              <w:t>Committee is accountable to the B</w:t>
            </w:r>
            <w:r w:rsidRPr="003B60D9">
              <w:rPr>
                <w:rFonts w:ascii="Arial" w:hAnsi="Arial" w:cs="Arial"/>
                <w:sz w:val="22"/>
                <w:szCs w:val="22"/>
              </w:rPr>
              <w:t xml:space="preserve">oard of </w:t>
            </w:r>
            <w:r w:rsidR="00D41ACD">
              <w:rPr>
                <w:rFonts w:ascii="Arial" w:hAnsi="Arial" w:cs="Arial"/>
                <w:sz w:val="22"/>
                <w:szCs w:val="22"/>
              </w:rPr>
              <w:t>D</w:t>
            </w:r>
            <w:r w:rsidRPr="003B60D9">
              <w:rPr>
                <w:rFonts w:ascii="Arial" w:hAnsi="Arial" w:cs="Arial"/>
                <w:sz w:val="22"/>
                <w:szCs w:val="22"/>
              </w:rPr>
              <w:t xml:space="preserve">irectors 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>for its performance and effectiveness in accordance with these terms of reference.</w:t>
            </w:r>
          </w:p>
          <w:p w14:paraId="3BF71192" w14:textId="77777777" w:rsidR="00C06CB7" w:rsidRPr="009A42DD" w:rsidRDefault="00C06CB7" w:rsidP="00CE7F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609" w:rsidRPr="00C51D38" w14:paraId="5EA0315D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AFCC862" w14:textId="77777777" w:rsidR="00704609" w:rsidRPr="00C51D38" w:rsidRDefault="00704609" w:rsidP="00CE7FEB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>Authority</w:t>
            </w:r>
          </w:p>
        </w:tc>
      </w:tr>
      <w:tr w:rsidR="00704609" w:rsidRPr="005B7922" w14:paraId="616D4EB1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DDA" w14:textId="77777777" w:rsidR="003B60D9" w:rsidRPr="003B60D9" w:rsidRDefault="00D41ACD" w:rsidP="00C24B08">
            <w:p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="001136A0" w:rsidRPr="003B60D9">
              <w:rPr>
                <w:rFonts w:ascii="Arial" w:hAnsi="Arial" w:cs="Arial"/>
                <w:sz w:val="22"/>
                <w:szCs w:val="22"/>
              </w:rPr>
              <w:t xml:space="preserve">ommittee is authorised by the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1136A0" w:rsidRPr="003B60D9">
              <w:rPr>
                <w:rFonts w:ascii="Arial" w:hAnsi="Arial" w:cs="Arial"/>
                <w:sz w:val="22"/>
                <w:szCs w:val="22"/>
              </w:rPr>
              <w:t xml:space="preserve">oard 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>irectors to:</w:t>
            </w:r>
          </w:p>
          <w:p w14:paraId="102461B6" w14:textId="77777777" w:rsidR="00340A66" w:rsidRPr="002A5E4C" w:rsidRDefault="00340A66" w:rsidP="00C24B08">
            <w:pPr>
              <w:pStyle w:val="ListParagraph"/>
              <w:numPr>
                <w:ilvl w:val="0"/>
                <w:numId w:val="8"/>
              </w:num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A5E4C">
              <w:rPr>
                <w:rFonts w:ascii="Arial" w:hAnsi="Arial" w:cs="Arial"/>
                <w:sz w:val="22"/>
                <w:szCs w:val="22"/>
              </w:rPr>
              <w:t>Appoint or remove the chief executive, and set the remuneration and allowances and other terms and conditions of office of the chief executive.</w:t>
            </w:r>
          </w:p>
          <w:p w14:paraId="5EC52A9A" w14:textId="77777777" w:rsidR="003B60D9" w:rsidRPr="002A5E4C" w:rsidRDefault="00340A66" w:rsidP="00C24B08">
            <w:pPr>
              <w:pStyle w:val="ListParagraph"/>
              <w:numPr>
                <w:ilvl w:val="0"/>
                <w:numId w:val="8"/>
              </w:num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A5E4C">
              <w:rPr>
                <w:rFonts w:ascii="Arial" w:hAnsi="Arial" w:cs="Arial"/>
                <w:sz w:val="22"/>
                <w:szCs w:val="22"/>
              </w:rPr>
              <w:t>Appoint or remove the other executive directors and set the remuneration and allowances and other terms and conditions of office of the executive directors, in collaboration with the chief executive.</w:t>
            </w:r>
          </w:p>
          <w:p w14:paraId="4D004B95" w14:textId="77777777" w:rsidR="003B60D9" w:rsidRPr="003B60D9" w:rsidRDefault="003B60D9" w:rsidP="00C24B08">
            <w:pPr>
              <w:pStyle w:val="ListParagraph"/>
              <w:numPr>
                <w:ilvl w:val="0"/>
                <w:numId w:val="8"/>
              </w:num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60D9">
              <w:rPr>
                <w:rFonts w:ascii="Arial" w:hAnsi="Arial" w:cs="Arial"/>
                <w:sz w:val="22"/>
                <w:szCs w:val="22"/>
              </w:rPr>
              <w:t xml:space="preserve">Consider any activity within its </w:t>
            </w:r>
            <w:r w:rsidR="001136A0" w:rsidRPr="003B60D9">
              <w:rPr>
                <w:rFonts w:ascii="Arial" w:hAnsi="Arial" w:cs="Arial"/>
                <w:sz w:val="22"/>
                <w:szCs w:val="22"/>
              </w:rPr>
              <w:t xml:space="preserve">terms of reference.  </w:t>
            </w:r>
          </w:p>
          <w:p w14:paraId="1F6073B7" w14:textId="77777777" w:rsidR="003B60D9" w:rsidRPr="003B60D9" w:rsidRDefault="003B60D9" w:rsidP="00C24B08">
            <w:pPr>
              <w:pStyle w:val="ListParagraph"/>
              <w:numPr>
                <w:ilvl w:val="0"/>
                <w:numId w:val="8"/>
              </w:num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60D9">
              <w:rPr>
                <w:rFonts w:ascii="Arial" w:hAnsi="Arial" w:cs="Arial"/>
                <w:sz w:val="22"/>
                <w:szCs w:val="22"/>
              </w:rPr>
              <w:t>Seek releva</w:t>
            </w:r>
            <w:r w:rsidR="00340DF8">
              <w:rPr>
                <w:rFonts w:ascii="Arial" w:hAnsi="Arial" w:cs="Arial"/>
                <w:sz w:val="22"/>
                <w:szCs w:val="22"/>
              </w:rPr>
              <w:t>nt information from within the T</w:t>
            </w:r>
            <w:r w:rsidRPr="003B60D9">
              <w:rPr>
                <w:rFonts w:ascii="Arial" w:hAnsi="Arial" w:cs="Arial"/>
                <w:sz w:val="22"/>
                <w:szCs w:val="22"/>
              </w:rPr>
              <w:t>rust</w:t>
            </w:r>
            <w:r w:rsidR="00D21FD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315A7">
              <w:rPr>
                <w:rFonts w:ascii="Arial" w:hAnsi="Arial" w:cs="Arial"/>
                <w:sz w:val="22"/>
                <w:szCs w:val="22"/>
              </w:rPr>
              <w:t>(</w:t>
            </w:r>
            <w:r w:rsidR="00D21FD4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3B60D9">
              <w:rPr>
                <w:rFonts w:ascii="Arial" w:hAnsi="Arial" w:cs="Arial"/>
                <w:sz w:val="22"/>
                <w:szCs w:val="22"/>
              </w:rPr>
              <w:t>departments and employees are required to co-operate with</w:t>
            </w:r>
            <w:r w:rsidR="00D21FD4">
              <w:rPr>
                <w:rFonts w:ascii="Arial" w:hAnsi="Arial" w:cs="Arial"/>
                <w:sz w:val="22"/>
                <w:szCs w:val="22"/>
              </w:rPr>
              <w:t xml:space="preserve"> any request made by </w:t>
            </w:r>
            <w:r w:rsidRPr="003B60D9">
              <w:rPr>
                <w:rFonts w:ascii="Arial" w:hAnsi="Arial" w:cs="Arial"/>
                <w:sz w:val="22"/>
                <w:szCs w:val="22"/>
              </w:rPr>
              <w:t>the committee).</w:t>
            </w:r>
          </w:p>
          <w:p w14:paraId="5243EC20" w14:textId="77777777" w:rsidR="00D21FD4" w:rsidRDefault="003B60D9" w:rsidP="00D21FD4">
            <w:pPr>
              <w:pStyle w:val="ListParagraph"/>
              <w:numPr>
                <w:ilvl w:val="0"/>
                <w:numId w:val="8"/>
              </w:num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60D9">
              <w:rPr>
                <w:rFonts w:ascii="Arial" w:hAnsi="Arial" w:cs="Arial"/>
                <w:sz w:val="22"/>
                <w:szCs w:val="22"/>
              </w:rPr>
              <w:t xml:space="preserve">Instruct </w:t>
            </w:r>
            <w:r w:rsidR="00D21FD4">
              <w:rPr>
                <w:rFonts w:ascii="Arial" w:hAnsi="Arial" w:cs="Arial"/>
                <w:sz w:val="22"/>
                <w:szCs w:val="22"/>
              </w:rPr>
              <w:t>independent consultants in respect of executive director remuneration.</w:t>
            </w:r>
          </w:p>
          <w:p w14:paraId="12C66DC1" w14:textId="77777777" w:rsidR="005A7534" w:rsidRPr="00C24B08" w:rsidRDefault="00D21FD4" w:rsidP="00D21FD4">
            <w:pPr>
              <w:pStyle w:val="ListParagraph"/>
              <w:numPr>
                <w:ilvl w:val="0"/>
                <w:numId w:val="8"/>
              </w:num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 xml:space="preserve">equest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services and 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 xml:space="preserve">attendance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any other 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 xml:space="preserve">individuals and authorities with relevant experience and expertise if it considers this necessary to </w:t>
            </w:r>
            <w:r>
              <w:rPr>
                <w:rFonts w:ascii="Arial" w:hAnsi="Arial" w:cs="Arial"/>
                <w:sz w:val="22"/>
                <w:szCs w:val="22"/>
              </w:rPr>
              <w:t xml:space="preserve">exercise 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>its functions.</w:t>
            </w:r>
          </w:p>
        </w:tc>
      </w:tr>
      <w:tr w:rsidR="00DB0C66" w:rsidRPr="00C51D38" w14:paraId="362A7C2E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70C460" w14:textId="77777777" w:rsidR="00DB0C66" w:rsidRPr="00C51D38" w:rsidRDefault="00DB0C66" w:rsidP="00CE7FEB">
            <w:pPr>
              <w:pStyle w:val="Heading2"/>
              <w:rPr>
                <w:color w:val="FFFFFF"/>
                <w:szCs w:val="22"/>
              </w:rPr>
            </w:pPr>
            <w:r w:rsidRPr="00C51D38">
              <w:rPr>
                <w:color w:val="FFFFFF"/>
                <w:szCs w:val="22"/>
              </w:rPr>
              <w:t>Purpose</w:t>
            </w:r>
          </w:p>
        </w:tc>
      </w:tr>
      <w:tr w:rsidR="00DB0C66" w:rsidRPr="005B7922" w14:paraId="2CA170EB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A5E" w14:textId="77777777" w:rsidR="005D2ED4" w:rsidRDefault="00E962D9" w:rsidP="00C24B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60D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40DF8">
              <w:rPr>
                <w:rFonts w:ascii="Arial" w:hAnsi="Arial" w:cs="Arial"/>
                <w:sz w:val="22"/>
                <w:szCs w:val="22"/>
              </w:rPr>
              <w:t>purpose of the C</w:t>
            </w:r>
            <w:r w:rsidR="003B60D9" w:rsidRPr="003B60D9">
              <w:rPr>
                <w:rFonts w:ascii="Arial" w:hAnsi="Arial" w:cs="Arial"/>
                <w:sz w:val="22"/>
                <w:szCs w:val="22"/>
              </w:rPr>
              <w:t>ommittee is to</w:t>
            </w:r>
            <w:r w:rsidR="005D2ED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FC70D4" w14:textId="6412A431" w:rsidR="005D2ED4" w:rsidRPr="00473544" w:rsidRDefault="004E721B" w:rsidP="005D2ED4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B60D9" w:rsidRPr="005D2ED4">
              <w:rPr>
                <w:rFonts w:ascii="Arial" w:hAnsi="Arial" w:cs="Arial"/>
                <w:sz w:val="22"/>
                <w:szCs w:val="22"/>
              </w:rPr>
              <w:t>etermine</w:t>
            </w:r>
            <w:r w:rsidR="00E962D9" w:rsidRPr="005D2E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0D9" w:rsidRPr="005D2ED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D2ED4" w:rsidRPr="00473544">
              <w:rPr>
                <w:rFonts w:ascii="Arial" w:hAnsi="Arial" w:cs="Arial"/>
                <w:sz w:val="22"/>
                <w:szCs w:val="22"/>
              </w:rPr>
              <w:t xml:space="preserve">structure, size and </w:t>
            </w:r>
            <w:r w:rsidR="003B60D9" w:rsidRPr="00473544">
              <w:rPr>
                <w:rFonts w:ascii="Arial" w:hAnsi="Arial" w:cs="Arial"/>
                <w:sz w:val="22"/>
                <w:szCs w:val="22"/>
              </w:rPr>
              <w:t>composition</w:t>
            </w:r>
            <w:r w:rsidR="005D2ED4" w:rsidRPr="0047354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D2ED4" w:rsidRPr="00473544">
              <w:rPr>
                <w:rFonts w:ascii="Arial" w:hAnsi="Arial" w:cs="Arial"/>
                <w:sz w:val="22"/>
              </w:rPr>
              <w:t>including the skills, knowledge, ex</w:t>
            </w:r>
            <w:r w:rsidR="00D41ACD">
              <w:rPr>
                <w:rFonts w:ascii="Arial" w:hAnsi="Arial" w:cs="Arial"/>
                <w:sz w:val="22"/>
              </w:rPr>
              <w:t>perience</w:t>
            </w:r>
            <w:r w:rsidR="00E7446E">
              <w:rPr>
                <w:rFonts w:ascii="Arial" w:hAnsi="Arial" w:cs="Arial"/>
                <w:sz w:val="22"/>
              </w:rPr>
              <w:t>, diversity and development</w:t>
            </w:r>
            <w:r w:rsidR="00D41ACD">
              <w:rPr>
                <w:rFonts w:ascii="Arial" w:hAnsi="Arial" w:cs="Arial"/>
                <w:sz w:val="22"/>
              </w:rPr>
              <w:t>) of the B</w:t>
            </w:r>
            <w:r w:rsidR="005D2ED4" w:rsidRPr="00473544">
              <w:rPr>
                <w:rFonts w:ascii="Arial" w:hAnsi="Arial" w:cs="Arial"/>
                <w:sz w:val="22"/>
              </w:rPr>
              <w:t>oard</w:t>
            </w:r>
            <w:r w:rsidR="00D41ACD">
              <w:rPr>
                <w:rFonts w:ascii="Arial" w:hAnsi="Arial" w:cs="Arial"/>
                <w:sz w:val="22"/>
              </w:rPr>
              <w:t xml:space="preserve"> of D</w:t>
            </w:r>
            <w:r w:rsidR="00D21FD4">
              <w:rPr>
                <w:rFonts w:ascii="Arial" w:hAnsi="Arial" w:cs="Arial"/>
                <w:sz w:val="22"/>
              </w:rPr>
              <w:t>irectors</w:t>
            </w:r>
            <w:r w:rsidR="005D2ED4" w:rsidRPr="00473544">
              <w:rPr>
                <w:rFonts w:ascii="Arial" w:hAnsi="Arial" w:cs="Arial"/>
                <w:sz w:val="22"/>
              </w:rPr>
              <w:t xml:space="preserve">, making use of the output of the board evaluation process as appropriate, and </w:t>
            </w:r>
            <w:r w:rsidR="00D21FD4">
              <w:rPr>
                <w:rFonts w:ascii="Arial" w:hAnsi="Arial" w:cs="Arial"/>
                <w:sz w:val="22"/>
              </w:rPr>
              <w:t xml:space="preserve">to </w:t>
            </w:r>
            <w:r w:rsidR="005D2ED4" w:rsidRPr="00473544">
              <w:rPr>
                <w:rFonts w:ascii="Arial" w:hAnsi="Arial" w:cs="Arial"/>
                <w:sz w:val="22"/>
              </w:rPr>
              <w:t>mak</w:t>
            </w:r>
            <w:r w:rsidR="00D41ACD">
              <w:rPr>
                <w:rFonts w:ascii="Arial" w:hAnsi="Arial" w:cs="Arial"/>
                <w:sz w:val="22"/>
              </w:rPr>
              <w:t>e recommendations to the B</w:t>
            </w:r>
            <w:r w:rsidR="00D21FD4">
              <w:rPr>
                <w:rFonts w:ascii="Arial" w:hAnsi="Arial" w:cs="Arial"/>
                <w:sz w:val="22"/>
              </w:rPr>
              <w:t>oard</w:t>
            </w:r>
            <w:r w:rsidR="00D41ACD">
              <w:rPr>
                <w:rFonts w:ascii="Arial" w:hAnsi="Arial" w:cs="Arial"/>
                <w:sz w:val="22"/>
              </w:rPr>
              <w:t>,</w:t>
            </w:r>
            <w:r w:rsidR="00D21FD4">
              <w:rPr>
                <w:rFonts w:ascii="Arial" w:hAnsi="Arial" w:cs="Arial"/>
                <w:sz w:val="22"/>
              </w:rPr>
              <w:t xml:space="preserve"> </w:t>
            </w:r>
            <w:r w:rsidR="005D2ED4" w:rsidRPr="00473544">
              <w:rPr>
                <w:rFonts w:ascii="Arial" w:hAnsi="Arial" w:cs="Arial"/>
                <w:sz w:val="22"/>
              </w:rPr>
              <w:t>as applicable</w:t>
            </w:r>
            <w:r w:rsidR="00D41ACD">
              <w:rPr>
                <w:rFonts w:ascii="Arial" w:hAnsi="Arial" w:cs="Arial"/>
                <w:sz w:val="22"/>
              </w:rPr>
              <w:t>,</w:t>
            </w:r>
            <w:r w:rsidR="005D2ED4" w:rsidRPr="00473544">
              <w:rPr>
                <w:rFonts w:ascii="Arial" w:hAnsi="Arial" w:cs="Arial"/>
                <w:sz w:val="22"/>
              </w:rPr>
              <w:t xml:space="preserve"> with regard to any changes.</w:t>
            </w:r>
          </w:p>
          <w:p w14:paraId="00815634" w14:textId="77777777" w:rsidR="00DC30E7" w:rsidRPr="00DC30E7" w:rsidRDefault="00DC30E7" w:rsidP="004E721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Work with the chief executive to i</w:t>
            </w:r>
            <w:r w:rsidR="005D2ED4" w:rsidRPr="004E721B">
              <w:rPr>
                <w:rFonts w:ascii="Arial" w:hAnsi="Arial" w:cs="Arial"/>
                <w:sz w:val="22"/>
              </w:rPr>
              <w:t xml:space="preserve">dentify </w:t>
            </w:r>
            <w:r w:rsidR="00473544" w:rsidRPr="004E721B">
              <w:rPr>
                <w:rFonts w:ascii="Arial" w:hAnsi="Arial" w:cs="Arial"/>
                <w:sz w:val="22"/>
              </w:rPr>
              <w:t>and appoint candidates to fi</w:t>
            </w:r>
            <w:r w:rsidR="00D21FD4" w:rsidRPr="004E721B">
              <w:rPr>
                <w:rFonts w:ascii="Arial" w:hAnsi="Arial" w:cs="Arial"/>
                <w:sz w:val="22"/>
              </w:rPr>
              <w:t xml:space="preserve">ll all </w:t>
            </w:r>
            <w:r w:rsidR="005D2ED4" w:rsidRPr="004E721B">
              <w:rPr>
                <w:rFonts w:ascii="Arial" w:hAnsi="Arial" w:cs="Arial"/>
                <w:sz w:val="22"/>
              </w:rPr>
              <w:t xml:space="preserve">executive director and </w:t>
            </w:r>
            <w:r w:rsidR="00D21FD4" w:rsidRPr="004E721B">
              <w:rPr>
                <w:rFonts w:ascii="Arial" w:hAnsi="Arial" w:cs="Arial"/>
                <w:sz w:val="22"/>
              </w:rPr>
              <w:t>other</w:t>
            </w:r>
            <w:r w:rsidR="005D2ED4" w:rsidRPr="004E721B">
              <w:rPr>
                <w:rFonts w:ascii="Arial" w:hAnsi="Arial" w:cs="Arial"/>
                <w:sz w:val="22"/>
              </w:rPr>
              <w:t xml:space="preserve"> positions </w:t>
            </w:r>
            <w:r w:rsidR="00D21FD4" w:rsidRPr="004E721B">
              <w:rPr>
                <w:rFonts w:ascii="Arial" w:hAnsi="Arial" w:cs="Arial"/>
                <w:sz w:val="22"/>
              </w:rPr>
              <w:t>that report to the chief executive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CD4AC8E" w14:textId="77777777" w:rsidR="004E721B" w:rsidRPr="004E721B" w:rsidRDefault="00DC30E7" w:rsidP="00340D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Work with the chief executive </w:t>
            </w:r>
            <w:r w:rsidR="004E721B" w:rsidRPr="004E721B">
              <w:rPr>
                <w:rFonts w:ascii="Arial" w:hAnsi="Arial" w:cs="Arial"/>
                <w:sz w:val="22"/>
              </w:rPr>
              <w:t xml:space="preserve">to </w:t>
            </w:r>
            <w:r w:rsidR="004E721B">
              <w:rPr>
                <w:rFonts w:ascii="Arial" w:hAnsi="Arial" w:cs="Arial"/>
                <w:sz w:val="22"/>
              </w:rPr>
              <w:t>d</w:t>
            </w:r>
            <w:r w:rsidR="004E721B" w:rsidRPr="004E721B">
              <w:rPr>
                <w:rFonts w:ascii="Arial" w:hAnsi="Arial" w:cs="Arial"/>
                <w:sz w:val="22"/>
              </w:rPr>
              <w:t>ecide and keep under review the</w:t>
            </w:r>
            <w:r w:rsidR="004E721B">
              <w:rPr>
                <w:rFonts w:ascii="Arial" w:hAnsi="Arial" w:cs="Arial"/>
                <w:sz w:val="22"/>
              </w:rPr>
              <w:t xml:space="preserve"> terms and conditions of office</w:t>
            </w:r>
            <w:r>
              <w:rPr>
                <w:rFonts w:ascii="Arial" w:hAnsi="Arial" w:cs="Arial"/>
                <w:sz w:val="22"/>
              </w:rPr>
              <w:t xml:space="preserve"> of executive directors </w:t>
            </w:r>
            <w:r w:rsidRPr="004E721B">
              <w:rPr>
                <w:rFonts w:ascii="Arial" w:hAnsi="Arial" w:cs="Arial"/>
                <w:sz w:val="22"/>
              </w:rPr>
              <w:t>and other positions that report to the chief executive</w:t>
            </w:r>
            <w:r w:rsidR="004E721B">
              <w:rPr>
                <w:rFonts w:ascii="Arial" w:hAnsi="Arial" w:cs="Arial"/>
                <w:sz w:val="22"/>
              </w:rPr>
              <w:t xml:space="preserve">, </w:t>
            </w:r>
            <w:r w:rsidR="004E721B" w:rsidRPr="004E721B">
              <w:rPr>
                <w:rFonts w:ascii="Arial" w:hAnsi="Arial" w:cs="Arial"/>
                <w:sz w:val="22"/>
              </w:rPr>
              <w:t>including:</w:t>
            </w:r>
          </w:p>
          <w:p w14:paraId="05ECAF1D" w14:textId="77777777" w:rsidR="004E721B" w:rsidRPr="006750F7" w:rsidRDefault="004E721B" w:rsidP="00340DF8">
            <w:pPr>
              <w:pStyle w:val="Header"/>
              <w:numPr>
                <w:ilvl w:val="1"/>
                <w:numId w:val="15"/>
              </w:numPr>
              <w:ind w:left="1077" w:hanging="357"/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Salary, including any performance-related pay or bonus;</w:t>
            </w:r>
          </w:p>
          <w:p w14:paraId="64069D5C" w14:textId="77777777" w:rsidR="004E721B" w:rsidRPr="006750F7" w:rsidRDefault="004E721B" w:rsidP="00340DF8">
            <w:pPr>
              <w:pStyle w:val="Header"/>
              <w:numPr>
                <w:ilvl w:val="1"/>
                <w:numId w:val="15"/>
              </w:numPr>
              <w:ind w:left="1077" w:hanging="357"/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Provisions for other benefits, including pensions and cars;</w:t>
            </w:r>
          </w:p>
          <w:p w14:paraId="6CCFCA9B" w14:textId="77777777" w:rsidR="004E721B" w:rsidRPr="006750F7" w:rsidRDefault="004E721B" w:rsidP="00340DF8">
            <w:pPr>
              <w:pStyle w:val="Header"/>
              <w:numPr>
                <w:ilvl w:val="1"/>
                <w:numId w:val="15"/>
              </w:numPr>
              <w:ind w:left="1077" w:hanging="357"/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Allowances;</w:t>
            </w:r>
          </w:p>
          <w:p w14:paraId="7A9C83A2" w14:textId="77777777" w:rsidR="004E721B" w:rsidRPr="006750F7" w:rsidRDefault="004E721B" w:rsidP="00340DF8">
            <w:pPr>
              <w:pStyle w:val="Header"/>
              <w:numPr>
                <w:ilvl w:val="1"/>
                <w:numId w:val="15"/>
              </w:numPr>
              <w:ind w:left="1077" w:hanging="357"/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Payable expenses;</w:t>
            </w:r>
          </w:p>
          <w:p w14:paraId="6172CA45" w14:textId="77777777" w:rsidR="004E721B" w:rsidRDefault="004E721B" w:rsidP="00340DF8">
            <w:pPr>
              <w:pStyle w:val="Header"/>
              <w:numPr>
                <w:ilvl w:val="1"/>
                <w:numId w:val="15"/>
              </w:numPr>
              <w:ind w:left="1077" w:hanging="357"/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Compensation payments.</w:t>
            </w:r>
          </w:p>
          <w:p w14:paraId="0BC6B2FA" w14:textId="77777777" w:rsidR="00340DF8" w:rsidRPr="004E721B" w:rsidRDefault="00340DF8" w:rsidP="00340DF8">
            <w:pPr>
              <w:pStyle w:val="Header"/>
              <w:ind w:left="1077"/>
              <w:rPr>
                <w:rFonts w:ascii="Arial" w:hAnsi="Arial" w:cs="Arial"/>
                <w:sz w:val="22"/>
              </w:rPr>
            </w:pPr>
          </w:p>
          <w:p w14:paraId="60CCE89A" w14:textId="27C79915" w:rsidR="00DB0C66" w:rsidRPr="002E363B" w:rsidRDefault="00E7446E" w:rsidP="00B4250E">
            <w:pPr>
              <w:pStyle w:val="Header"/>
              <w:numPr>
                <w:ilvl w:val="0"/>
                <w:numId w:val="11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Determine </w:t>
            </w:r>
            <w:r w:rsidR="00E962D9" w:rsidRPr="004E721B">
              <w:rPr>
                <w:rFonts w:ascii="Arial" w:hAnsi="Arial" w:cs="Arial"/>
                <w:sz w:val="22"/>
                <w:szCs w:val="22"/>
              </w:rPr>
              <w:t xml:space="preserve">remuneration </w:t>
            </w:r>
            <w:r w:rsidR="00473544" w:rsidRPr="004E721B">
              <w:rPr>
                <w:rFonts w:ascii="Arial" w:hAnsi="Arial" w:cs="Arial"/>
                <w:sz w:val="22"/>
                <w:szCs w:val="22"/>
              </w:rPr>
              <w:t xml:space="preserve">packages and contractual terms </w:t>
            </w:r>
            <w:r w:rsidR="00E962D9" w:rsidRPr="004E721B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5D2ED4" w:rsidRPr="004E721B">
              <w:rPr>
                <w:rFonts w:ascii="Arial" w:hAnsi="Arial" w:cs="Arial"/>
                <w:sz w:val="22"/>
                <w:szCs w:val="22"/>
              </w:rPr>
              <w:t>the executive management team</w:t>
            </w:r>
            <w:r>
              <w:rPr>
                <w:rFonts w:ascii="Arial" w:hAnsi="Arial" w:cs="Arial"/>
                <w:sz w:val="22"/>
                <w:szCs w:val="22"/>
              </w:rPr>
              <w:t xml:space="preserve"> in line with benchmarking and </w:t>
            </w:r>
            <w:r w:rsidR="00B4250E">
              <w:rPr>
                <w:rFonts w:ascii="Arial" w:hAnsi="Arial" w:cs="Arial"/>
                <w:sz w:val="22"/>
                <w:szCs w:val="22"/>
              </w:rPr>
              <w:t>national guidance</w:t>
            </w:r>
            <w:r w:rsidR="00473544" w:rsidRPr="004E72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04363C" w14:textId="77777777" w:rsidR="002E363B" w:rsidRPr="004E721B" w:rsidRDefault="002E363B" w:rsidP="002E363B">
            <w:pPr>
              <w:pStyle w:val="Header"/>
              <w:spacing w:after="120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DB0C66" w:rsidRPr="00C51D38" w14:paraId="64BC31BE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75A809" w14:textId="77777777" w:rsidR="00DB0C66" w:rsidRPr="00C51D38" w:rsidRDefault="00D41ACD" w:rsidP="00CE7FEB">
            <w:pPr>
              <w:pStyle w:val="Heading2"/>
              <w:rPr>
                <w:color w:val="FFFFFF"/>
              </w:rPr>
            </w:pPr>
            <w:r>
              <w:rPr>
                <w:color w:val="FFFFFF"/>
              </w:rPr>
              <w:lastRenderedPageBreak/>
              <w:t>Duties and responsibilities</w:t>
            </w:r>
          </w:p>
        </w:tc>
      </w:tr>
      <w:tr w:rsidR="00DB0C66" w:rsidRPr="005B7922" w14:paraId="4642848B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303" w14:textId="77777777" w:rsidR="00D41ACD" w:rsidRPr="006750F7" w:rsidRDefault="00D41ACD" w:rsidP="00D41ACD">
            <w:pPr>
              <w:pStyle w:val="Header"/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b/>
                <w:sz w:val="22"/>
              </w:rPr>
              <w:t>Duties (nominations)</w:t>
            </w:r>
          </w:p>
          <w:p w14:paraId="32C4ED87" w14:textId="77777777" w:rsidR="00D41ACD" w:rsidRPr="006750F7" w:rsidRDefault="00D41ACD" w:rsidP="00B4250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When a vacancy is identified, evaluate the balance of skills, k</w:t>
            </w:r>
            <w:r>
              <w:rPr>
                <w:rFonts w:ascii="Arial" w:hAnsi="Arial" w:cs="Arial"/>
                <w:sz w:val="22"/>
              </w:rPr>
              <w:t>nowledge and experience on the B</w:t>
            </w:r>
            <w:r w:rsidRPr="006750F7">
              <w:rPr>
                <w:rFonts w:ascii="Arial" w:hAnsi="Arial" w:cs="Arial"/>
                <w:sz w:val="22"/>
              </w:rPr>
              <w:t xml:space="preserve">oard, and its diversity, </w:t>
            </w:r>
            <w:r w:rsidR="002E363B">
              <w:rPr>
                <w:rFonts w:ascii="Arial" w:hAnsi="Arial" w:cs="Arial"/>
                <w:sz w:val="22"/>
              </w:rPr>
              <w:t xml:space="preserve">including diversity of skills, experience and knowledge </w:t>
            </w:r>
            <w:r w:rsidRPr="006750F7">
              <w:rPr>
                <w:rFonts w:ascii="Arial" w:hAnsi="Arial" w:cs="Arial"/>
                <w:sz w:val="22"/>
              </w:rPr>
              <w:t>and in the light of this evaluation, prepare a description of the role and capabilities required for the particular appointment.</w:t>
            </w:r>
          </w:p>
          <w:p w14:paraId="47D919CD" w14:textId="77777777" w:rsidR="00D41ACD" w:rsidRDefault="00D41ACD" w:rsidP="00B4250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6750F7">
              <w:rPr>
                <w:rFonts w:ascii="Arial" w:hAnsi="Arial" w:cs="Arial"/>
                <w:sz w:val="22"/>
              </w:rPr>
              <w:t xml:space="preserve">se open advertising or the services of external advisers to facilitate </w:t>
            </w:r>
            <w:r>
              <w:rPr>
                <w:rFonts w:ascii="Arial" w:hAnsi="Arial" w:cs="Arial"/>
                <w:sz w:val="22"/>
              </w:rPr>
              <w:t>candidate</w:t>
            </w:r>
            <w:r w:rsidRPr="006750F7">
              <w:rPr>
                <w:rFonts w:ascii="Arial" w:hAnsi="Arial" w:cs="Arial"/>
                <w:sz w:val="22"/>
              </w:rPr>
              <w:t xml:space="preserve"> search</w:t>
            </w:r>
            <w:r>
              <w:rPr>
                <w:rFonts w:ascii="Arial" w:hAnsi="Arial" w:cs="Arial"/>
                <w:sz w:val="22"/>
              </w:rPr>
              <w:t xml:space="preserve">es. </w:t>
            </w:r>
          </w:p>
          <w:p w14:paraId="6EBFAB6E" w14:textId="77777777" w:rsidR="002E363B" w:rsidRDefault="002E363B" w:rsidP="00B4250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Give full consideration to succession planning, taking into account the future challenges, risks and opportunities facing the Trust and the skills and expertise required to meet them.</w:t>
            </w:r>
          </w:p>
          <w:p w14:paraId="5EA5BABF" w14:textId="7006CDDF" w:rsidR="002E363B" w:rsidRPr="002E363B" w:rsidRDefault="002E363B" w:rsidP="002E363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appointments and succession plans are based on merit and objective criteria and, within this context, promote diversity of gender, social and ethnic backgrounds, disability and personal strengths.</w:t>
            </w:r>
          </w:p>
          <w:p w14:paraId="16FA1B30" w14:textId="77777777" w:rsidR="00D41ACD" w:rsidRDefault="00D41ACD" w:rsidP="00B4250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Ensure that proposed appointees disclose any business interests that may result in a conflict of interest prior to appointment and that any future business interests that could result in a conflict of interest are reported.</w:t>
            </w:r>
          </w:p>
          <w:p w14:paraId="13F1C633" w14:textId="77777777" w:rsidR="00D41ACD" w:rsidRPr="00DC30E7" w:rsidRDefault="00D41ACD" w:rsidP="00B4250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DC30E7">
              <w:rPr>
                <w:rFonts w:ascii="Arial" w:hAnsi="Arial" w:cs="Arial"/>
                <w:sz w:val="22"/>
              </w:rPr>
              <w:t xml:space="preserve">Ensure that proposed </w:t>
            </w:r>
            <w:r w:rsidRPr="00DC30E7">
              <w:rPr>
                <w:rFonts w:ascii="Arial" w:hAnsi="Arial" w:cs="Arial"/>
                <w:sz w:val="22"/>
                <w:szCs w:val="22"/>
              </w:rPr>
              <w:t>appointees meet the “fit and proper person test”, and confirm their awareness of the circumstances which would prevent them from holding office</w:t>
            </w:r>
            <w:r w:rsidRPr="00DC30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4D4A20" w14:textId="77777777" w:rsidR="00D41ACD" w:rsidRDefault="00D41ACD" w:rsidP="00B4250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 xml:space="preserve">Consider any matter relating to the continuation in office of any executive director including the suspension or termination of service of an individual as an employee of </w:t>
            </w:r>
            <w:r>
              <w:rPr>
                <w:rFonts w:ascii="Arial" w:hAnsi="Arial" w:cs="Arial"/>
                <w:sz w:val="22"/>
              </w:rPr>
              <w:t>the T</w:t>
            </w:r>
            <w:r w:rsidRPr="006750F7">
              <w:rPr>
                <w:rFonts w:ascii="Arial" w:hAnsi="Arial" w:cs="Arial"/>
                <w:sz w:val="22"/>
              </w:rPr>
              <w:t>rust, subject to the provisions of the law and their service contract.</w:t>
            </w:r>
          </w:p>
          <w:p w14:paraId="5B989CC5" w14:textId="77777777" w:rsidR="00D41ACD" w:rsidRPr="006750F7" w:rsidRDefault="00D41ACD" w:rsidP="00D41A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08C321E3" w14:textId="77777777" w:rsidR="00D41ACD" w:rsidRDefault="00D41ACD" w:rsidP="00D41ACD">
            <w:pPr>
              <w:pStyle w:val="Header"/>
              <w:rPr>
                <w:rFonts w:ascii="Arial" w:hAnsi="Arial" w:cs="Arial"/>
                <w:b/>
                <w:sz w:val="22"/>
              </w:rPr>
            </w:pPr>
            <w:r w:rsidRPr="006750F7">
              <w:rPr>
                <w:rFonts w:ascii="Arial" w:hAnsi="Arial" w:cs="Arial"/>
                <w:b/>
                <w:sz w:val="22"/>
              </w:rPr>
              <w:t>Duties (remuneratio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6750F7">
              <w:rPr>
                <w:rFonts w:ascii="Arial" w:hAnsi="Arial" w:cs="Arial"/>
                <w:b/>
                <w:sz w:val="22"/>
              </w:rPr>
              <w:t xml:space="preserve">) </w:t>
            </w:r>
          </w:p>
          <w:p w14:paraId="40F7BFA8" w14:textId="77777777" w:rsidR="00B4250E" w:rsidRDefault="00B4250E" w:rsidP="00B4250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Establish levels of remuneration which are sufficient to attract, retain and motivate executive directors of the quality and with the skills and e</w:t>
            </w:r>
            <w:r>
              <w:rPr>
                <w:rFonts w:ascii="Arial" w:hAnsi="Arial" w:cs="Arial"/>
                <w:sz w:val="22"/>
              </w:rPr>
              <w:t>xperience required to lead the T</w:t>
            </w:r>
            <w:r w:rsidRPr="006750F7">
              <w:rPr>
                <w:rFonts w:ascii="Arial" w:hAnsi="Arial" w:cs="Arial"/>
                <w:sz w:val="22"/>
              </w:rPr>
              <w:t>rust successfully</w:t>
            </w:r>
            <w:r w:rsidR="00130063">
              <w:rPr>
                <w:rFonts w:ascii="Arial" w:hAnsi="Arial" w:cs="Arial"/>
                <w:sz w:val="22"/>
              </w:rPr>
              <w:t xml:space="preserve"> and collaborate effectively with system partners</w:t>
            </w:r>
            <w:r w:rsidRPr="006750F7">
              <w:rPr>
                <w:rFonts w:ascii="Arial" w:hAnsi="Arial" w:cs="Arial"/>
                <w:sz w:val="22"/>
              </w:rPr>
              <w:t>, without paying more than is necessary for this purpose, and at a level wh</w:t>
            </w:r>
            <w:r>
              <w:rPr>
                <w:rFonts w:ascii="Arial" w:hAnsi="Arial" w:cs="Arial"/>
                <w:sz w:val="22"/>
              </w:rPr>
              <w:t>ich is affordable for the Trust. To do this, the committee will:</w:t>
            </w:r>
          </w:p>
          <w:p w14:paraId="7B8060BA" w14:textId="763DCBC9" w:rsidR="00B4250E" w:rsidRPr="006750F7" w:rsidRDefault="00130063" w:rsidP="00130063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Follow</w:t>
            </w:r>
            <w:r w:rsidR="00B4250E" w:rsidRPr="006750F7">
              <w:rPr>
                <w:rFonts w:ascii="Arial" w:hAnsi="Arial" w:cs="Arial"/>
                <w:sz w:val="22"/>
              </w:rPr>
              <w:t xml:space="preserve"> </w:t>
            </w:r>
            <w:r w:rsidR="00B4250E">
              <w:rPr>
                <w:rFonts w:ascii="Arial" w:hAnsi="Arial" w:cs="Arial"/>
                <w:sz w:val="22"/>
              </w:rPr>
              <w:t xml:space="preserve">the national NHSE VSM </w:t>
            </w:r>
            <w:r w:rsidR="00491518">
              <w:rPr>
                <w:rFonts w:ascii="Arial" w:hAnsi="Arial" w:cs="Arial"/>
                <w:sz w:val="22"/>
              </w:rPr>
              <w:t xml:space="preserve">(very senior manager) </w:t>
            </w:r>
            <w:r w:rsidR="00B4250E">
              <w:rPr>
                <w:rFonts w:ascii="Arial" w:hAnsi="Arial" w:cs="Arial"/>
                <w:sz w:val="22"/>
              </w:rPr>
              <w:t xml:space="preserve">pay strategy and associated QVH VSM pay principles </w:t>
            </w:r>
            <w:r w:rsidR="00B4250E" w:rsidRPr="006750F7">
              <w:rPr>
                <w:rFonts w:ascii="Arial" w:hAnsi="Arial" w:cs="Arial"/>
                <w:sz w:val="22"/>
              </w:rPr>
              <w:t xml:space="preserve">in respect of executive board directors and </w:t>
            </w:r>
            <w:r w:rsidR="00B4250E">
              <w:rPr>
                <w:rFonts w:ascii="Arial" w:hAnsi="Arial" w:cs="Arial"/>
                <w:sz w:val="22"/>
              </w:rPr>
              <w:t>other</w:t>
            </w:r>
            <w:r w:rsidR="00B4250E" w:rsidRPr="00473544">
              <w:rPr>
                <w:rFonts w:ascii="Arial" w:hAnsi="Arial" w:cs="Arial"/>
                <w:sz w:val="22"/>
              </w:rPr>
              <w:t xml:space="preserve"> positions </w:t>
            </w:r>
            <w:r w:rsidR="00B4250E">
              <w:rPr>
                <w:rFonts w:ascii="Arial" w:hAnsi="Arial" w:cs="Arial"/>
                <w:sz w:val="22"/>
              </w:rPr>
              <w:t>that report to the chief executive</w:t>
            </w:r>
            <w:r w:rsidR="00B4250E" w:rsidRPr="006750F7">
              <w:rPr>
                <w:rFonts w:ascii="Arial" w:hAnsi="Arial" w:cs="Arial"/>
                <w:sz w:val="22"/>
              </w:rPr>
              <w:t>.</w:t>
            </w:r>
          </w:p>
          <w:p w14:paraId="070BB177" w14:textId="77777777" w:rsidR="00130063" w:rsidRDefault="00B4250E" w:rsidP="00130063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 xml:space="preserve">Use market benchmarking analysis in the annual determination of remuneration of executive directors </w:t>
            </w:r>
            <w:r>
              <w:rPr>
                <w:rFonts w:ascii="Arial" w:hAnsi="Arial" w:cs="Arial"/>
                <w:sz w:val="22"/>
              </w:rPr>
              <w:t>and other positions tha</w:t>
            </w:r>
            <w:r w:rsidR="00130063">
              <w:rPr>
                <w:rFonts w:ascii="Arial" w:hAnsi="Arial" w:cs="Arial"/>
                <w:sz w:val="22"/>
              </w:rPr>
              <w:t>t report to the chief executive</w:t>
            </w:r>
            <w:r w:rsidR="002E363B">
              <w:rPr>
                <w:rFonts w:ascii="Arial" w:hAnsi="Arial" w:cs="Arial"/>
                <w:sz w:val="22"/>
              </w:rPr>
              <w:t>.</w:t>
            </w:r>
            <w:bookmarkStart w:id="0" w:name="_GoBack"/>
            <w:bookmarkEnd w:id="0"/>
          </w:p>
          <w:p w14:paraId="66A3D94D" w14:textId="77777777" w:rsidR="00130063" w:rsidRDefault="00130063" w:rsidP="00130063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sensitive to pay and employment conditions elsewhere in the NHS, especially when determining annual salary increases</w:t>
            </w:r>
            <w:r w:rsidR="002E363B">
              <w:rPr>
                <w:rFonts w:ascii="Arial" w:hAnsi="Arial" w:cs="Arial"/>
                <w:sz w:val="22"/>
              </w:rPr>
              <w:t>.</w:t>
            </w:r>
          </w:p>
          <w:p w14:paraId="36D44C38" w14:textId="77777777" w:rsidR="00B4250E" w:rsidRDefault="00130063" w:rsidP="00130063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</w:t>
            </w:r>
            <w:r w:rsidR="00B4250E" w:rsidRPr="006750F7">
              <w:rPr>
                <w:rFonts w:ascii="Arial" w:hAnsi="Arial" w:cs="Arial"/>
                <w:sz w:val="22"/>
              </w:rPr>
              <w:t xml:space="preserve"> that increases are not made where </w:t>
            </w:r>
            <w:r w:rsidR="00B4250E">
              <w:rPr>
                <w:rFonts w:ascii="Arial" w:hAnsi="Arial" w:cs="Arial"/>
                <w:sz w:val="22"/>
              </w:rPr>
              <w:t>T</w:t>
            </w:r>
            <w:r w:rsidR="00B4250E" w:rsidRPr="006750F7">
              <w:rPr>
                <w:rFonts w:ascii="Arial" w:hAnsi="Arial" w:cs="Arial"/>
                <w:sz w:val="22"/>
              </w:rPr>
              <w:t>rust or individual p</w:t>
            </w:r>
            <w:r>
              <w:rPr>
                <w:rFonts w:ascii="Arial" w:hAnsi="Arial" w:cs="Arial"/>
                <w:sz w:val="22"/>
              </w:rPr>
              <w:t>erformance do not justify them</w:t>
            </w:r>
            <w:r w:rsidR="002E363B">
              <w:rPr>
                <w:rFonts w:ascii="Arial" w:hAnsi="Arial" w:cs="Arial"/>
                <w:sz w:val="22"/>
              </w:rPr>
              <w:t>.</w:t>
            </w:r>
          </w:p>
          <w:p w14:paraId="097CD3BE" w14:textId="77777777" w:rsidR="00130063" w:rsidRDefault="00130063" w:rsidP="00130063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pay arrangements provide equal pay for work of equal value</w:t>
            </w:r>
            <w:r w:rsidR="002E363B">
              <w:rPr>
                <w:rFonts w:ascii="Arial" w:hAnsi="Arial" w:cs="Arial"/>
                <w:sz w:val="22"/>
              </w:rPr>
              <w:t>.</w:t>
            </w:r>
          </w:p>
          <w:p w14:paraId="14D3D9DF" w14:textId="01C89600" w:rsidR="00130063" w:rsidRDefault="00130063" w:rsidP="00130063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Take into account internal relativities between the executive team and with other senior posts, both Agenda for Change and non-</w:t>
            </w:r>
            <w:r w:rsidR="00491518">
              <w:rPr>
                <w:rFonts w:ascii="Arial" w:hAnsi="Arial" w:cs="Arial"/>
                <w:sz w:val="22"/>
              </w:rPr>
              <w:t>Agenda for Change</w:t>
            </w:r>
            <w:r w:rsidR="002E363B">
              <w:rPr>
                <w:rFonts w:ascii="Arial" w:hAnsi="Arial" w:cs="Arial"/>
                <w:sz w:val="22"/>
              </w:rPr>
              <w:t>.</w:t>
            </w:r>
          </w:p>
          <w:p w14:paraId="1E59FC2E" w14:textId="77777777" w:rsidR="00130063" w:rsidRDefault="00130063" w:rsidP="00130063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transparent processes so that individuals know how their pay might be increased and third parties can be clear that the processes are auditable and compliant</w:t>
            </w:r>
            <w:r w:rsidR="002E363B">
              <w:rPr>
                <w:rFonts w:ascii="Arial" w:hAnsi="Arial" w:cs="Arial"/>
                <w:sz w:val="22"/>
              </w:rPr>
              <w:t>.</w:t>
            </w:r>
          </w:p>
          <w:p w14:paraId="7D2C4514" w14:textId="148F8B8D" w:rsidR="005545D5" w:rsidRDefault="005545D5" w:rsidP="00130063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Ensure that any performance-related element of executive directors’ remuneration is transparent, stretching and designed to promote the long-term sustainability of the Trust. The committee will should take as a baseline for performance any required competencies specified in the job description for the post</w:t>
            </w:r>
            <w:r w:rsidR="002E363B">
              <w:rPr>
                <w:rFonts w:ascii="Arial" w:hAnsi="Arial" w:cs="Arial"/>
                <w:sz w:val="22"/>
              </w:rPr>
              <w:t>.</w:t>
            </w:r>
          </w:p>
          <w:p w14:paraId="3EC3FCA3" w14:textId="77777777" w:rsidR="00ED23C1" w:rsidRDefault="00130063" w:rsidP="00ED23C1">
            <w:pPr>
              <w:pStyle w:val="Header"/>
              <w:numPr>
                <w:ilvl w:val="1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Monitor </w:t>
            </w:r>
            <w:r w:rsidRPr="006750F7">
              <w:rPr>
                <w:rFonts w:ascii="Arial" w:hAnsi="Arial" w:cs="Arial"/>
                <w:sz w:val="22"/>
              </w:rPr>
              <w:t>and assess the output of the evaluation of the performance of individual executive directors, and consider this</w:t>
            </w:r>
            <w:r>
              <w:rPr>
                <w:rFonts w:ascii="Arial" w:hAnsi="Arial" w:cs="Arial"/>
                <w:sz w:val="22"/>
              </w:rPr>
              <w:t xml:space="preserve"> as well as continuing professional and personal development plans</w:t>
            </w:r>
            <w:r w:rsidRPr="006750F7">
              <w:rPr>
                <w:rFonts w:ascii="Arial" w:hAnsi="Arial" w:cs="Arial"/>
                <w:sz w:val="22"/>
              </w:rPr>
              <w:t xml:space="preserve"> when reviewin</w:t>
            </w:r>
            <w:r w:rsidR="00ED23C1">
              <w:rPr>
                <w:rFonts w:ascii="Arial" w:hAnsi="Arial" w:cs="Arial"/>
                <w:sz w:val="22"/>
              </w:rPr>
              <w:t>g changes to remuneration levels</w:t>
            </w:r>
            <w:r w:rsidR="002E363B">
              <w:rPr>
                <w:rFonts w:ascii="Arial" w:hAnsi="Arial" w:cs="Arial"/>
                <w:sz w:val="22"/>
              </w:rPr>
              <w:t>.</w:t>
            </w:r>
          </w:p>
          <w:p w14:paraId="7FBFD96B" w14:textId="77777777" w:rsidR="00ED23C1" w:rsidRPr="00ED23C1" w:rsidRDefault="00ED23C1" w:rsidP="00ED23C1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Recommend and monitor the level and structure of remuneration for senior management. The Board defines senior management this purpose as the first layer of management below Board level</w:t>
            </w:r>
            <w:r w:rsidR="002E363B">
              <w:rPr>
                <w:rFonts w:ascii="Arial" w:hAnsi="Arial" w:cs="Arial"/>
                <w:sz w:val="22"/>
              </w:rPr>
              <w:t>.</w:t>
            </w:r>
          </w:p>
          <w:p w14:paraId="7DFB921A" w14:textId="06C5D403" w:rsidR="00B4250E" w:rsidRPr="00B4250E" w:rsidRDefault="00B4250E" w:rsidP="00B6682A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3720F964" w14:textId="77777777" w:rsidR="00B4250E" w:rsidRPr="00B4250E" w:rsidRDefault="00D41ACD" w:rsidP="00B4250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Committee will work with t</w:t>
            </w:r>
            <w:r w:rsidRPr="006750F7">
              <w:rPr>
                <w:rFonts w:ascii="Arial" w:hAnsi="Arial" w:cs="Arial"/>
                <w:sz w:val="22"/>
              </w:rPr>
              <w:t xml:space="preserve">he chief executive </w:t>
            </w:r>
            <w:r>
              <w:rPr>
                <w:rFonts w:ascii="Arial" w:hAnsi="Arial" w:cs="Arial"/>
                <w:sz w:val="22"/>
              </w:rPr>
              <w:t>to determine</w:t>
            </w:r>
            <w:r w:rsidRPr="006750F7">
              <w:rPr>
                <w:rFonts w:ascii="Arial" w:hAnsi="Arial" w:cs="Arial"/>
                <w:sz w:val="22"/>
              </w:rPr>
              <w:t xml:space="preserve"> the remuneration of the other executive directors.</w:t>
            </w:r>
          </w:p>
          <w:p w14:paraId="070C343E" w14:textId="77777777" w:rsidR="00D41ACD" w:rsidRDefault="00D41ACD" w:rsidP="00CE7FE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</w:p>
          <w:p w14:paraId="7A3CE9DD" w14:textId="77777777" w:rsidR="00DB0C66" w:rsidRDefault="005D2ED4" w:rsidP="00CE7FE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Responsibilities</w:t>
            </w:r>
          </w:p>
          <w:p w14:paraId="0DE4BE19" w14:textId="77777777" w:rsidR="00FA1A3C" w:rsidRPr="006750F7" w:rsidRDefault="005D2ED4" w:rsidP="00CE7FE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 behalf of </w:t>
            </w:r>
            <w:r w:rsidR="00340DF8">
              <w:rPr>
                <w:rFonts w:ascii="Arial" w:hAnsi="Arial" w:cs="Arial"/>
                <w:sz w:val="22"/>
              </w:rPr>
              <w:t>the Board of Directors, the C</w:t>
            </w:r>
            <w:r w:rsidRPr="006750F7">
              <w:rPr>
                <w:rFonts w:ascii="Arial" w:hAnsi="Arial" w:cs="Arial"/>
                <w:sz w:val="22"/>
              </w:rPr>
              <w:t>ommittee has the following responsibilities</w:t>
            </w:r>
            <w:r w:rsidR="00FA1A3C" w:rsidRPr="006750F7">
              <w:rPr>
                <w:rFonts w:ascii="Arial" w:hAnsi="Arial" w:cs="Arial"/>
                <w:sz w:val="22"/>
              </w:rPr>
              <w:t>:</w:t>
            </w:r>
          </w:p>
          <w:p w14:paraId="1B5D6D79" w14:textId="77777777" w:rsidR="006750F7" w:rsidRDefault="005E52A1" w:rsidP="00B4250E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 xml:space="preserve">To identify and appoint candidates to fill posts within its remit as and when they arise.  </w:t>
            </w:r>
          </w:p>
          <w:p w14:paraId="6A3D6AC2" w14:textId="77777777" w:rsidR="005E52A1" w:rsidRDefault="005E52A1" w:rsidP="00B4250E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In doing so, to adhere</w:t>
            </w:r>
            <w:r w:rsidR="006750F7" w:rsidRPr="006750F7">
              <w:rPr>
                <w:rFonts w:ascii="Arial" w:hAnsi="Arial" w:cs="Arial"/>
                <w:sz w:val="22"/>
              </w:rPr>
              <w:t xml:space="preserve"> to</w:t>
            </w:r>
            <w:r w:rsidRPr="006750F7">
              <w:rPr>
                <w:rFonts w:ascii="Arial" w:hAnsi="Arial" w:cs="Arial"/>
                <w:sz w:val="22"/>
              </w:rPr>
              <w:t xml:space="preserve"> </w:t>
            </w:r>
            <w:r w:rsidR="006750F7" w:rsidRPr="006750F7">
              <w:rPr>
                <w:rFonts w:ascii="Arial" w:hAnsi="Arial" w:cs="Arial"/>
                <w:sz w:val="22"/>
              </w:rPr>
              <w:t>relevant laws, regulations, trust policies and t</w:t>
            </w:r>
            <w:r w:rsidRPr="006750F7">
              <w:rPr>
                <w:rFonts w:ascii="Arial" w:hAnsi="Arial" w:cs="Arial"/>
                <w:sz w:val="22"/>
              </w:rPr>
              <w:t xml:space="preserve">he principles </w:t>
            </w:r>
            <w:r w:rsidRPr="00AD5371">
              <w:rPr>
                <w:rFonts w:ascii="Arial" w:hAnsi="Arial" w:cs="Arial"/>
                <w:sz w:val="22"/>
              </w:rPr>
              <w:t xml:space="preserve">and provisions regarding the levels and components of executive directors’ remuneration </w:t>
            </w:r>
            <w:r w:rsidR="005D2ED4" w:rsidRPr="00AD5371">
              <w:rPr>
                <w:rFonts w:ascii="Arial" w:hAnsi="Arial" w:cs="Arial"/>
                <w:sz w:val="22"/>
              </w:rPr>
              <w:t>as defined by</w:t>
            </w:r>
            <w:r w:rsidRPr="00AD5371">
              <w:rPr>
                <w:rFonts w:ascii="Arial" w:hAnsi="Arial" w:cs="Arial"/>
                <w:sz w:val="22"/>
              </w:rPr>
              <w:t xml:space="preserve"> section </w:t>
            </w:r>
            <w:r w:rsidR="00C72344">
              <w:rPr>
                <w:rFonts w:ascii="Arial" w:hAnsi="Arial" w:cs="Arial"/>
                <w:sz w:val="22"/>
              </w:rPr>
              <w:t>E</w:t>
            </w:r>
            <w:r w:rsidRPr="00AD5371">
              <w:rPr>
                <w:rFonts w:ascii="Arial" w:hAnsi="Arial" w:cs="Arial"/>
                <w:sz w:val="22"/>
              </w:rPr>
              <w:t xml:space="preserve"> of the </w:t>
            </w:r>
            <w:r w:rsidR="00C72344">
              <w:rPr>
                <w:rFonts w:ascii="Arial" w:hAnsi="Arial" w:cs="Arial"/>
                <w:sz w:val="22"/>
              </w:rPr>
              <w:t>Code of governance for NHS provider trusts</w:t>
            </w:r>
            <w:r w:rsidR="00D41ACD">
              <w:rPr>
                <w:rFonts w:ascii="Arial" w:hAnsi="Arial" w:cs="Arial"/>
                <w:sz w:val="22"/>
              </w:rPr>
              <w:t>.</w:t>
            </w:r>
          </w:p>
          <w:p w14:paraId="51359055" w14:textId="77777777" w:rsidR="00BC6967" w:rsidRPr="00BC6967" w:rsidRDefault="00BC6967" w:rsidP="00B4250E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 xml:space="preserve">To be sensitive to </w:t>
            </w:r>
            <w:r>
              <w:rPr>
                <w:rFonts w:ascii="Arial" w:hAnsi="Arial" w:cs="Arial"/>
                <w:sz w:val="22"/>
              </w:rPr>
              <w:t xml:space="preserve">other </w:t>
            </w:r>
            <w:r w:rsidRPr="006750F7">
              <w:rPr>
                <w:rFonts w:ascii="Arial" w:hAnsi="Arial" w:cs="Arial"/>
                <w:sz w:val="22"/>
              </w:rPr>
              <w:t>pay an</w:t>
            </w:r>
            <w:r w:rsidR="00D41ACD">
              <w:rPr>
                <w:rFonts w:ascii="Arial" w:hAnsi="Arial" w:cs="Arial"/>
                <w:sz w:val="22"/>
              </w:rPr>
              <w:t>d employment conditions in the T</w:t>
            </w:r>
            <w:r w:rsidRPr="006750F7">
              <w:rPr>
                <w:rFonts w:ascii="Arial" w:hAnsi="Arial" w:cs="Arial"/>
                <w:sz w:val="22"/>
              </w:rPr>
              <w:t>rust</w:t>
            </w:r>
            <w:r w:rsidR="00ED23C1">
              <w:rPr>
                <w:rFonts w:ascii="Arial" w:hAnsi="Arial" w:cs="Arial"/>
                <w:sz w:val="22"/>
              </w:rPr>
              <w:t xml:space="preserve"> and elsewhere in the NHS, especially when determining annual salary increases</w:t>
            </w:r>
            <w:r w:rsidRPr="006750F7">
              <w:rPr>
                <w:rFonts w:ascii="Arial" w:hAnsi="Arial" w:cs="Arial"/>
                <w:sz w:val="22"/>
              </w:rPr>
              <w:t>.</w:t>
            </w:r>
          </w:p>
          <w:p w14:paraId="0EEEF063" w14:textId="77777777" w:rsidR="005E52A1" w:rsidRDefault="005E52A1" w:rsidP="00B4250E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6750F7">
              <w:rPr>
                <w:rFonts w:ascii="Arial" w:hAnsi="Arial" w:cs="Arial"/>
                <w:sz w:val="22"/>
              </w:rPr>
              <w:t>To ke</w:t>
            </w:r>
            <w:r w:rsidR="00D41ACD">
              <w:rPr>
                <w:rFonts w:ascii="Arial" w:hAnsi="Arial" w:cs="Arial"/>
                <w:sz w:val="22"/>
              </w:rPr>
              <w:t>ep the leadership needs of the T</w:t>
            </w:r>
            <w:r w:rsidRPr="006750F7">
              <w:rPr>
                <w:rFonts w:ascii="Arial" w:hAnsi="Arial" w:cs="Arial"/>
                <w:sz w:val="22"/>
              </w:rPr>
              <w:t xml:space="preserve">rust under review at executive level to ensure </w:t>
            </w:r>
            <w:r w:rsidR="00D41ACD">
              <w:rPr>
                <w:rFonts w:ascii="Arial" w:hAnsi="Arial" w:cs="Arial"/>
                <w:sz w:val="22"/>
              </w:rPr>
              <w:t>the continued ability of the T</w:t>
            </w:r>
            <w:r w:rsidRPr="006750F7">
              <w:rPr>
                <w:rFonts w:ascii="Arial" w:hAnsi="Arial" w:cs="Arial"/>
                <w:sz w:val="22"/>
              </w:rPr>
              <w:t>rust to operate effectively in the health economy.</w:t>
            </w:r>
          </w:p>
          <w:p w14:paraId="7F88C1D4" w14:textId="77777777" w:rsidR="00BC6967" w:rsidRPr="006750F7" w:rsidRDefault="00BC6967" w:rsidP="00B4250E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g</w:t>
            </w:r>
            <w:r w:rsidRPr="005E52A1">
              <w:rPr>
                <w:rFonts w:ascii="Arial" w:hAnsi="Arial" w:cs="Arial"/>
                <w:sz w:val="22"/>
              </w:rPr>
              <w:t xml:space="preserve">ive full consideration to and make plans for succession planning for the chief executive and other executive directors taking into account the challenges and </w:t>
            </w:r>
            <w:r w:rsidR="00D41ACD">
              <w:rPr>
                <w:rFonts w:ascii="Arial" w:hAnsi="Arial" w:cs="Arial"/>
                <w:sz w:val="22"/>
              </w:rPr>
              <w:t>opportunities facing the T</w:t>
            </w:r>
            <w:r w:rsidRPr="006750F7">
              <w:rPr>
                <w:rFonts w:ascii="Arial" w:hAnsi="Arial" w:cs="Arial"/>
                <w:sz w:val="22"/>
              </w:rPr>
              <w:t>rust and the skills and expertise</w:t>
            </w:r>
            <w:r w:rsidR="00D41ACD">
              <w:rPr>
                <w:rFonts w:ascii="Arial" w:hAnsi="Arial" w:cs="Arial"/>
                <w:sz w:val="22"/>
              </w:rPr>
              <w:t xml:space="preserve"> needed on the B</w:t>
            </w:r>
            <w:r w:rsidRPr="006750F7">
              <w:rPr>
                <w:rFonts w:ascii="Arial" w:hAnsi="Arial" w:cs="Arial"/>
                <w:sz w:val="22"/>
              </w:rPr>
              <w:t>oard in the future.</w:t>
            </w:r>
          </w:p>
          <w:p w14:paraId="3C80E73D" w14:textId="77777777" w:rsidR="005E52A1" w:rsidRDefault="00D41ACD" w:rsidP="00B4250E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sponsor the T</w:t>
            </w:r>
            <w:r w:rsidR="005E52A1" w:rsidRPr="006750F7">
              <w:rPr>
                <w:rFonts w:ascii="Arial" w:hAnsi="Arial" w:cs="Arial"/>
                <w:sz w:val="22"/>
              </w:rPr>
              <w:t>rust’s leadership development and talent management programmes to support succession plans and meet specific recruitment and retention needs.</w:t>
            </w:r>
          </w:p>
          <w:p w14:paraId="3833E780" w14:textId="6BE0BFCE" w:rsidR="0049313D" w:rsidRDefault="0049313D" w:rsidP="00B4250E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ratify </w:t>
            </w:r>
            <w:r w:rsidR="005C47FA">
              <w:rPr>
                <w:rFonts w:ascii="Arial" w:hAnsi="Arial" w:cs="Arial"/>
                <w:sz w:val="22"/>
              </w:rPr>
              <w:t>the process</w:t>
            </w:r>
            <w:r>
              <w:rPr>
                <w:rFonts w:ascii="Arial" w:hAnsi="Arial" w:cs="Arial"/>
                <w:sz w:val="22"/>
              </w:rPr>
              <w:t xml:space="preserve"> for medical and dental Clinical Excellence Awards</w:t>
            </w:r>
          </w:p>
          <w:p w14:paraId="3A44F942" w14:textId="3962C1B8" w:rsidR="00E7446E" w:rsidRPr="006750F7" w:rsidRDefault="00E7446E" w:rsidP="00B4250E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rev</w:t>
            </w:r>
            <w:r w:rsidR="005B47BE">
              <w:rPr>
                <w:rFonts w:ascii="Arial" w:hAnsi="Arial" w:cs="Arial"/>
                <w:sz w:val="22"/>
              </w:rPr>
              <w:t>iew executive team skillsets,</w:t>
            </w:r>
            <w:r>
              <w:rPr>
                <w:rFonts w:ascii="Arial" w:hAnsi="Arial" w:cs="Arial"/>
                <w:sz w:val="22"/>
              </w:rPr>
              <w:t xml:space="preserve"> identify any gaps</w:t>
            </w:r>
            <w:r w:rsidR="005B47BE">
              <w:rPr>
                <w:rFonts w:ascii="Arial" w:hAnsi="Arial" w:cs="Arial"/>
                <w:sz w:val="22"/>
              </w:rPr>
              <w:t xml:space="preserve"> and consider how they should be addressed</w:t>
            </w:r>
          </w:p>
          <w:p w14:paraId="031B3811" w14:textId="77777777" w:rsidR="004E721B" w:rsidRPr="004E721B" w:rsidRDefault="004E721B" w:rsidP="00D41ACD">
            <w:pPr>
              <w:pStyle w:val="Header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3B60D9" w:rsidRPr="00C51D38" w14:paraId="3A8986E1" w14:textId="77777777" w:rsidTr="00572A1E"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E3B453" w14:textId="77777777" w:rsidR="003B60D9" w:rsidRPr="00C51D38" w:rsidRDefault="003B60D9" w:rsidP="00687919">
            <w:pPr>
              <w:pStyle w:val="Heading2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lastRenderedPageBreak/>
              <w:t>Meetings</w:t>
            </w:r>
            <w:r w:rsidRPr="00C51D38">
              <w:rPr>
                <w:color w:val="FFFFFF"/>
              </w:rPr>
              <w:t xml:space="preserve"> </w:t>
            </w:r>
          </w:p>
        </w:tc>
      </w:tr>
      <w:tr w:rsidR="003B60D9" w:rsidRPr="005B7922" w14:paraId="43541304" w14:textId="77777777" w:rsidTr="00572A1E">
        <w:tc>
          <w:tcPr>
            <w:tcW w:w="8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E74" w14:textId="77777777" w:rsidR="003B60D9" w:rsidRPr="000E598A" w:rsidRDefault="00966A76" w:rsidP="00C24B08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Meetings of the C</w:t>
            </w:r>
            <w:r w:rsidR="003B60D9" w:rsidRPr="000E598A">
              <w:rPr>
                <w:rFonts w:ascii="Arial" w:hAnsi="Arial" w:cs="Arial"/>
                <w:sz w:val="22"/>
              </w:rPr>
              <w:t xml:space="preserve">ommittee shall be formal, </w:t>
            </w:r>
            <w:proofErr w:type="spellStart"/>
            <w:r w:rsidR="003B60D9" w:rsidRPr="000E598A">
              <w:rPr>
                <w:rFonts w:ascii="Arial" w:hAnsi="Arial" w:cs="Arial"/>
                <w:sz w:val="22"/>
              </w:rPr>
              <w:t>minuted</w:t>
            </w:r>
            <w:proofErr w:type="spellEnd"/>
            <w:r w:rsidR="003B60D9" w:rsidRPr="000E598A">
              <w:rPr>
                <w:rFonts w:ascii="Arial" w:hAnsi="Arial" w:cs="Arial"/>
                <w:sz w:val="22"/>
              </w:rPr>
              <w:t xml:space="preserve"> and compliant with relevant </w:t>
            </w:r>
            <w:r w:rsidR="000E598A" w:rsidRPr="000E598A">
              <w:rPr>
                <w:rFonts w:ascii="Arial" w:hAnsi="Arial" w:cs="Arial"/>
                <w:sz w:val="22"/>
              </w:rPr>
              <w:t>statutory</w:t>
            </w:r>
            <w:r w:rsidR="003B60D9" w:rsidRPr="000E598A">
              <w:rPr>
                <w:rFonts w:ascii="Arial" w:hAnsi="Arial" w:cs="Arial"/>
                <w:sz w:val="22"/>
              </w:rPr>
              <w:t xml:space="preserve"> and good pr</w:t>
            </w:r>
            <w:r>
              <w:rPr>
                <w:rFonts w:ascii="Arial" w:hAnsi="Arial" w:cs="Arial"/>
                <w:sz w:val="22"/>
              </w:rPr>
              <w:t>actice guidance as well as the T</w:t>
            </w:r>
            <w:r w:rsidR="003B60D9" w:rsidRPr="000E598A">
              <w:rPr>
                <w:rFonts w:ascii="Arial" w:hAnsi="Arial" w:cs="Arial"/>
                <w:sz w:val="22"/>
              </w:rPr>
              <w:t xml:space="preserve">rust’s codes of conduct. </w:t>
            </w:r>
          </w:p>
          <w:p w14:paraId="5C50CFD7" w14:textId="1BA5ED02" w:rsidR="00C24B08" w:rsidRDefault="00966A76" w:rsidP="00C24B08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</w:t>
            </w:r>
            <w:r w:rsidR="003B60D9" w:rsidRPr="000E598A">
              <w:rPr>
                <w:rFonts w:ascii="Arial" w:hAnsi="Arial" w:cs="Arial"/>
                <w:sz w:val="22"/>
              </w:rPr>
              <w:t>ommit</w:t>
            </w:r>
            <w:r w:rsidR="000E598A" w:rsidRPr="000E598A">
              <w:rPr>
                <w:rFonts w:ascii="Arial" w:hAnsi="Arial" w:cs="Arial"/>
                <w:sz w:val="22"/>
              </w:rPr>
              <w:t>t</w:t>
            </w:r>
            <w:r w:rsidR="00C24B08">
              <w:rPr>
                <w:rFonts w:ascii="Arial" w:hAnsi="Arial" w:cs="Arial"/>
                <w:sz w:val="22"/>
              </w:rPr>
              <w:t>ee will usually meet</w:t>
            </w:r>
            <w:r w:rsidR="00572A1E">
              <w:rPr>
                <w:rFonts w:ascii="Arial" w:hAnsi="Arial" w:cs="Arial"/>
                <w:sz w:val="22"/>
              </w:rPr>
              <w:t xml:space="preserve"> four</w:t>
            </w:r>
            <w:r w:rsidR="00905D85">
              <w:rPr>
                <w:rFonts w:ascii="Arial" w:hAnsi="Arial" w:cs="Arial"/>
                <w:sz w:val="22"/>
              </w:rPr>
              <w:t xml:space="preserve"> times a year</w:t>
            </w:r>
            <w:r w:rsidR="00C24B08">
              <w:rPr>
                <w:rFonts w:ascii="Arial" w:hAnsi="Arial" w:cs="Arial"/>
                <w:sz w:val="22"/>
              </w:rPr>
              <w:t>.</w:t>
            </w:r>
          </w:p>
          <w:p w14:paraId="234253EF" w14:textId="77777777" w:rsidR="00C24B08" w:rsidRDefault="00966A76" w:rsidP="00C24B08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</w:t>
            </w:r>
            <w:r w:rsidR="00C72344"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hair of the C</w:t>
            </w:r>
            <w:r w:rsidR="000E598A" w:rsidRPr="000E598A">
              <w:rPr>
                <w:rFonts w:ascii="Arial" w:hAnsi="Arial" w:cs="Arial"/>
                <w:sz w:val="22"/>
              </w:rPr>
              <w:t>ommittee may cancel, postpone or convene additional</w:t>
            </w:r>
            <w:r>
              <w:rPr>
                <w:rFonts w:ascii="Arial" w:hAnsi="Arial" w:cs="Arial"/>
                <w:sz w:val="22"/>
              </w:rPr>
              <w:t xml:space="preserve"> meetings as necessary for the C</w:t>
            </w:r>
            <w:r w:rsidR="000E598A" w:rsidRPr="000E598A">
              <w:rPr>
                <w:rFonts w:ascii="Arial" w:hAnsi="Arial" w:cs="Arial"/>
                <w:sz w:val="22"/>
              </w:rPr>
              <w:t>ommittee to fulfil its pu</w:t>
            </w:r>
            <w:r w:rsidR="00C24B08">
              <w:rPr>
                <w:rFonts w:ascii="Arial" w:hAnsi="Arial" w:cs="Arial"/>
                <w:sz w:val="22"/>
              </w:rPr>
              <w:t>rpose and discharge its duties.</w:t>
            </w:r>
          </w:p>
          <w:p w14:paraId="2C445858" w14:textId="77777777" w:rsidR="00A635F1" w:rsidRDefault="00966A76" w:rsidP="00A635F1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Board of Directors, Chief E</w:t>
            </w:r>
            <w:r w:rsidR="007A1112">
              <w:rPr>
                <w:rFonts w:ascii="Arial" w:hAnsi="Arial" w:cs="Arial"/>
                <w:sz w:val="22"/>
              </w:rPr>
              <w:t xml:space="preserve">xecutive and </w:t>
            </w:r>
            <w:r w:rsidR="002E363B">
              <w:rPr>
                <w:rFonts w:ascii="Arial" w:hAnsi="Arial" w:cs="Arial"/>
                <w:sz w:val="22"/>
              </w:rPr>
              <w:t>Chief People Officer</w:t>
            </w:r>
            <w:r w:rsidR="000E598A" w:rsidRPr="000E598A">
              <w:rPr>
                <w:rFonts w:ascii="Arial" w:hAnsi="Arial" w:cs="Arial"/>
                <w:sz w:val="22"/>
              </w:rPr>
              <w:t xml:space="preserve"> may request additional meetings if they consider it necessary.</w:t>
            </w:r>
          </w:p>
          <w:p w14:paraId="6D5B09D7" w14:textId="3BBF12E3" w:rsidR="00572A1E" w:rsidRPr="00A635F1" w:rsidRDefault="00572A1E" w:rsidP="00A635F1">
            <w:pPr>
              <w:spacing w:after="120"/>
              <w:rPr>
                <w:rFonts w:ascii="Arial" w:hAnsi="Arial" w:cs="Arial"/>
                <w:sz w:val="22"/>
              </w:rPr>
            </w:pPr>
            <w:r w:rsidRPr="00464F48">
              <w:rPr>
                <w:rFonts w:ascii="Arial" w:hAnsi="Arial" w:cs="Arial"/>
                <w:sz w:val="22"/>
                <w:szCs w:val="22"/>
              </w:rPr>
              <w:lastRenderedPageBreak/>
              <w:t xml:space="preserve">Notice of each meeting confirming the venue, time and date together with an Agenda shall be circulated by the Secretary to each member of the Committee at least </w:t>
            </w:r>
            <w:r w:rsidR="00491518">
              <w:rPr>
                <w:rFonts w:ascii="Arial" w:hAnsi="Arial" w:cs="Arial"/>
                <w:sz w:val="22"/>
                <w:szCs w:val="22"/>
              </w:rPr>
              <w:t>five</w:t>
            </w:r>
            <w:r w:rsidRPr="00464F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47BE">
              <w:rPr>
                <w:rFonts w:ascii="Arial" w:hAnsi="Arial" w:cs="Arial"/>
                <w:sz w:val="22"/>
                <w:szCs w:val="22"/>
              </w:rPr>
              <w:t>clear</w:t>
            </w:r>
            <w:r w:rsidRPr="00464F48">
              <w:rPr>
                <w:rFonts w:ascii="Arial" w:hAnsi="Arial" w:cs="Arial"/>
                <w:sz w:val="22"/>
                <w:szCs w:val="22"/>
              </w:rPr>
              <w:t xml:space="preserve"> days prior to the date of the meeting.</w:t>
            </w:r>
          </w:p>
          <w:p w14:paraId="429AAFB9" w14:textId="40729BDC" w:rsidR="00572A1E" w:rsidRPr="005B7922" w:rsidRDefault="00572A1E" w:rsidP="002E363B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572A1E" w:rsidRPr="005B7922" w14:paraId="2AF33F58" w14:textId="77777777" w:rsidTr="00DC0B66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AEE81B7" w14:textId="320A1F6A" w:rsidR="00572A1E" w:rsidRPr="00572A1E" w:rsidRDefault="00572A1E" w:rsidP="00572A1E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lastRenderedPageBreak/>
              <w:t>Conflicts of interest</w:t>
            </w:r>
          </w:p>
        </w:tc>
      </w:tr>
      <w:tr w:rsidR="00572A1E" w:rsidRPr="005B7922" w14:paraId="0A736BAD" w14:textId="77777777" w:rsidTr="00572A1E">
        <w:tc>
          <w:tcPr>
            <w:tcW w:w="8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077" w14:textId="77777777" w:rsidR="00572A1E" w:rsidRDefault="00572A1E" w:rsidP="00572A1E">
            <w:pPr>
              <w:pStyle w:val="NormalWeb"/>
              <w:shd w:val="clear" w:color="auto" w:fill="FFFFFF"/>
              <w:rPr>
                <w:rFonts w:ascii="ArialMT" w:hAnsi="ArialMT"/>
                <w:color w:val="211E1E"/>
              </w:rPr>
            </w:pPr>
            <w:r w:rsidRPr="00C23A32">
              <w:rPr>
                <w:rFonts w:ascii="Arial" w:hAnsi="Arial" w:cs="Arial"/>
                <w:sz w:val="22"/>
                <w:szCs w:val="22"/>
                <w:lang w:eastAsia="en-US"/>
              </w:rPr>
              <w:t>All members and attendees of the Committee must declare any relevant potential interests at the commencement of any meeting. The Chair of the Committee will determine if there is a conflict of interest such that the member and/or attendee will be required not to participate in a discussion.</w:t>
            </w:r>
            <w:r>
              <w:rPr>
                <w:rFonts w:ascii="ArialMT" w:hAnsi="ArialMT"/>
                <w:color w:val="211E1E"/>
              </w:rPr>
              <w:t xml:space="preserve"> </w:t>
            </w:r>
          </w:p>
          <w:p w14:paraId="66B35FE9" w14:textId="5FED4B24" w:rsidR="00572A1E" w:rsidRPr="00572A1E" w:rsidRDefault="00572A1E" w:rsidP="00572A1E">
            <w:pPr>
              <w:pStyle w:val="NormalWeb"/>
              <w:shd w:val="clear" w:color="auto" w:fill="FFFFFF"/>
              <w:rPr>
                <w:rFonts w:ascii="ArialMT" w:hAnsi="ArialMT"/>
                <w:color w:val="211E1E"/>
              </w:rPr>
            </w:pPr>
          </w:p>
        </w:tc>
      </w:tr>
      <w:tr w:rsidR="00572A1E" w:rsidRPr="00C51D38" w14:paraId="08143812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6A4CE2" w14:textId="77777777" w:rsidR="00572A1E" w:rsidRPr="00C51D38" w:rsidRDefault="00572A1E" w:rsidP="00572A1E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>Chairing</w:t>
            </w:r>
          </w:p>
        </w:tc>
      </w:tr>
      <w:tr w:rsidR="00572A1E" w:rsidRPr="005B7922" w14:paraId="5399D82F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656" w14:textId="77777777" w:rsidR="00572A1E" w:rsidRPr="000E598A" w:rsidRDefault="00572A1E" w:rsidP="00572A1E">
            <w:pPr>
              <w:rPr>
                <w:rFonts w:ascii="Arial" w:hAnsi="Arial" w:cs="Arial"/>
                <w:sz w:val="22"/>
                <w:szCs w:val="22"/>
              </w:rPr>
            </w:pPr>
            <w:r w:rsidRPr="000E598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E598A">
              <w:rPr>
                <w:rFonts w:ascii="Arial" w:hAnsi="Arial" w:cs="Arial"/>
                <w:sz w:val="22"/>
                <w:szCs w:val="22"/>
              </w:rPr>
              <w:t xml:space="preserve">ommittee shall be chaired by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E598A">
              <w:rPr>
                <w:rFonts w:ascii="Arial" w:hAnsi="Arial" w:cs="Arial"/>
                <w:sz w:val="22"/>
                <w:szCs w:val="22"/>
              </w:rPr>
              <w:t>hair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T</w:t>
            </w:r>
            <w:r w:rsidRPr="000E598A">
              <w:rPr>
                <w:rFonts w:ascii="Arial" w:hAnsi="Arial" w:cs="Arial"/>
                <w:sz w:val="22"/>
                <w:szCs w:val="22"/>
              </w:rPr>
              <w:t>rust.</w:t>
            </w:r>
            <w:r w:rsidRPr="000E598A">
              <w:rPr>
                <w:rFonts w:ascii="Arial" w:hAnsi="Arial" w:cs="Arial"/>
                <w:sz w:val="22"/>
                <w:szCs w:val="22"/>
              </w:rPr>
              <w:br/>
            </w:r>
          </w:p>
          <w:p w14:paraId="474082C5" w14:textId="04A8E406" w:rsidR="00572A1E" w:rsidRDefault="00572A1E" w:rsidP="00572A1E">
            <w:pPr>
              <w:rPr>
                <w:rFonts w:ascii="Arial" w:hAnsi="Arial" w:cs="Arial"/>
                <w:sz w:val="22"/>
                <w:szCs w:val="22"/>
              </w:rPr>
            </w:pPr>
            <w:r w:rsidRPr="000E598A">
              <w:rPr>
                <w:rFonts w:ascii="Arial" w:hAnsi="Arial" w:cs="Arial"/>
                <w:sz w:val="22"/>
                <w:szCs w:val="22"/>
              </w:rPr>
              <w:t xml:space="preserve">If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E598A">
              <w:rPr>
                <w:rFonts w:ascii="Arial" w:hAnsi="Arial" w:cs="Arial"/>
                <w:sz w:val="22"/>
                <w:szCs w:val="22"/>
              </w:rPr>
              <w:t xml:space="preserve">hair is absent or has a conflict of interest which precludes </w:t>
            </w:r>
            <w:r>
              <w:rPr>
                <w:rFonts w:ascii="Arial" w:hAnsi="Arial" w:cs="Arial"/>
                <w:sz w:val="22"/>
                <w:szCs w:val="22"/>
              </w:rPr>
              <w:t>their</w:t>
            </w:r>
            <w:r w:rsidRPr="000E598A">
              <w:rPr>
                <w:rFonts w:ascii="Arial" w:hAnsi="Arial" w:cs="Arial"/>
                <w:sz w:val="22"/>
                <w:szCs w:val="22"/>
              </w:rPr>
              <w:t xml:space="preserve"> attendance for</w:t>
            </w:r>
            <w:r>
              <w:rPr>
                <w:rFonts w:ascii="Arial" w:hAnsi="Arial" w:cs="Arial"/>
                <w:sz w:val="22"/>
                <w:szCs w:val="22"/>
              </w:rPr>
              <w:t xml:space="preserve"> all or part of a meeting, the C</w:t>
            </w:r>
            <w:r w:rsidRPr="000E598A">
              <w:rPr>
                <w:rFonts w:ascii="Arial" w:hAnsi="Arial" w:cs="Arial"/>
                <w:sz w:val="22"/>
                <w:szCs w:val="22"/>
              </w:rPr>
              <w:t>ommittee shall be chaired by the seni</w:t>
            </w:r>
            <w:r>
              <w:rPr>
                <w:rFonts w:ascii="Arial" w:hAnsi="Arial" w:cs="Arial"/>
                <w:sz w:val="22"/>
                <w:szCs w:val="22"/>
              </w:rPr>
              <w:t>or independent director of the T</w:t>
            </w:r>
            <w:r w:rsidRPr="000E598A">
              <w:rPr>
                <w:rFonts w:ascii="Arial" w:hAnsi="Arial" w:cs="Arial"/>
                <w:sz w:val="22"/>
                <w:szCs w:val="22"/>
              </w:rPr>
              <w:t>rust.</w:t>
            </w:r>
          </w:p>
          <w:p w14:paraId="10E59BE2" w14:textId="77777777" w:rsidR="00572A1E" w:rsidRPr="009A42DD" w:rsidRDefault="00572A1E" w:rsidP="00572A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A1E" w:rsidRPr="00C51D38" w14:paraId="4810D153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076DEC" w14:textId="77777777" w:rsidR="00572A1E" w:rsidRPr="00C51D38" w:rsidRDefault="00572A1E" w:rsidP="00572A1E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t>Secretariat</w:t>
            </w:r>
          </w:p>
        </w:tc>
      </w:tr>
      <w:tr w:rsidR="00572A1E" w:rsidRPr="005B7922" w14:paraId="3455F2DA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7C8" w14:textId="03034045" w:rsidR="00572A1E" w:rsidRPr="000E598A" w:rsidRDefault="00572A1E" w:rsidP="00572A1E">
            <w:pPr>
              <w:rPr>
                <w:rFonts w:ascii="Arial" w:hAnsi="Arial" w:cs="Arial"/>
                <w:sz w:val="22"/>
              </w:rPr>
            </w:pPr>
            <w:r w:rsidRPr="001E24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6682A">
              <w:rPr>
                <w:rFonts w:ascii="Arial" w:hAnsi="Arial" w:cs="Arial"/>
                <w:sz w:val="22"/>
                <w:szCs w:val="22"/>
              </w:rPr>
              <w:t>Company secretary</w:t>
            </w:r>
            <w:r w:rsidRPr="001E246B">
              <w:rPr>
                <w:rFonts w:ascii="Arial" w:hAnsi="Arial" w:cs="Arial"/>
                <w:sz w:val="22"/>
                <w:szCs w:val="22"/>
              </w:rPr>
              <w:t xml:space="preserve">, working closely with the </w:t>
            </w:r>
            <w:r w:rsidR="00D84A03">
              <w:rPr>
                <w:rFonts w:ascii="Arial" w:hAnsi="Arial" w:cs="Arial"/>
                <w:sz w:val="22"/>
                <w:szCs w:val="22"/>
              </w:rPr>
              <w:t>chief people officer</w:t>
            </w:r>
            <w:r w:rsidRPr="001E246B">
              <w:rPr>
                <w:rFonts w:ascii="Arial" w:hAnsi="Arial" w:cs="Arial"/>
                <w:sz w:val="22"/>
                <w:szCs w:val="22"/>
              </w:rPr>
              <w:t>,</w:t>
            </w:r>
            <w:r w:rsidRPr="000E598A">
              <w:rPr>
                <w:rFonts w:ascii="Arial" w:hAnsi="Arial" w:cs="Arial"/>
                <w:sz w:val="22"/>
                <w:szCs w:val="22"/>
              </w:rPr>
              <w:t xml:space="preserve"> shall be the secretary to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E598A">
              <w:rPr>
                <w:rFonts w:ascii="Arial" w:hAnsi="Arial" w:cs="Arial"/>
                <w:sz w:val="22"/>
                <w:szCs w:val="22"/>
              </w:rPr>
              <w:t xml:space="preserve">ommittee </w:t>
            </w:r>
            <w:r w:rsidRPr="000E598A">
              <w:rPr>
                <w:rFonts w:ascii="Arial" w:hAnsi="Arial" w:cs="Arial"/>
                <w:sz w:val="22"/>
              </w:rPr>
              <w:t>and provide administrative suppo</w:t>
            </w:r>
            <w:r>
              <w:rPr>
                <w:rFonts w:ascii="Arial" w:hAnsi="Arial" w:cs="Arial"/>
                <w:sz w:val="22"/>
              </w:rPr>
              <w:t>rt and advice to the Chair</w:t>
            </w:r>
            <w:r w:rsidRPr="000E598A">
              <w:rPr>
                <w:rFonts w:ascii="Arial" w:hAnsi="Arial" w:cs="Arial"/>
                <w:sz w:val="22"/>
              </w:rPr>
              <w:t xml:space="preserve"> and membership. The duties of the secretary shall include but not be limited to:</w:t>
            </w:r>
          </w:p>
          <w:p w14:paraId="2071FA33" w14:textId="77777777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E598A">
              <w:rPr>
                <w:rFonts w:ascii="Arial" w:hAnsi="Arial" w:cs="Arial"/>
                <w:sz w:val="22"/>
                <w:szCs w:val="22"/>
              </w:rPr>
              <w:t>Preparation of the draft agenda for agreement with the chair</w:t>
            </w:r>
          </w:p>
          <w:p w14:paraId="4F984880" w14:textId="77777777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E598A">
              <w:rPr>
                <w:rFonts w:ascii="Arial" w:hAnsi="Arial" w:cs="Arial"/>
                <w:sz w:val="22"/>
                <w:szCs w:val="22"/>
              </w:rPr>
              <w:t>Organisation of meeting arrangements, facilities and attendance</w:t>
            </w:r>
          </w:p>
          <w:p w14:paraId="20222567" w14:textId="77777777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E598A">
              <w:rPr>
                <w:rFonts w:ascii="Arial" w:hAnsi="Arial" w:cs="Arial"/>
                <w:sz w:val="22"/>
                <w:szCs w:val="22"/>
              </w:rPr>
              <w:t>Collation and distribution of meeting papers</w:t>
            </w:r>
          </w:p>
          <w:p w14:paraId="59019E28" w14:textId="77777777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E598A">
              <w:rPr>
                <w:rFonts w:ascii="Arial" w:hAnsi="Arial" w:cs="Arial"/>
                <w:sz w:val="22"/>
                <w:szCs w:val="22"/>
              </w:rPr>
              <w:t>Taking the minutes of meetings and keeping a record of matters arising and issues to be carried forward.</w:t>
            </w:r>
          </w:p>
          <w:p w14:paraId="2E1D5826" w14:textId="77777777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E598A">
              <w:rPr>
                <w:rFonts w:ascii="Arial" w:hAnsi="Arial" w:cs="Arial"/>
                <w:sz w:val="22"/>
                <w:szCs w:val="22"/>
              </w:rPr>
              <w:t xml:space="preserve">Maintaining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E598A">
              <w:rPr>
                <w:rFonts w:ascii="Arial" w:hAnsi="Arial" w:cs="Arial"/>
                <w:sz w:val="22"/>
                <w:szCs w:val="22"/>
              </w:rPr>
              <w:t xml:space="preserve">ommittee’s </w:t>
            </w:r>
            <w:r w:rsidRPr="000E598A">
              <w:rPr>
                <w:rFonts w:ascii="Arial" w:hAnsi="Arial" w:cs="Arial"/>
                <w:sz w:val="22"/>
              </w:rPr>
              <w:t>work programme.</w:t>
            </w:r>
          </w:p>
          <w:p w14:paraId="36CB67B2" w14:textId="77777777" w:rsidR="00572A1E" w:rsidRPr="009A42DD" w:rsidRDefault="00572A1E" w:rsidP="00572A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A1E" w:rsidRPr="00C51D38" w14:paraId="55CDDA31" w14:textId="77777777" w:rsidTr="00572A1E"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527135" w14:textId="77777777" w:rsidR="00572A1E" w:rsidRPr="003F6B28" w:rsidRDefault="00572A1E" w:rsidP="00572A1E">
            <w:pPr>
              <w:rPr>
                <w:rFonts w:ascii="Arial" w:hAnsi="Arial" w:cs="Arial"/>
                <w:color w:val="FFFFFF"/>
                <w:sz w:val="22"/>
                <w:highlight w:val="red"/>
              </w:rPr>
            </w:pPr>
            <w:r w:rsidRPr="004A5A7D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Membership </w:t>
            </w:r>
          </w:p>
        </w:tc>
      </w:tr>
      <w:tr w:rsidR="00572A1E" w:rsidRPr="005B7922" w14:paraId="43C3FC02" w14:textId="77777777" w:rsidTr="00572A1E">
        <w:tc>
          <w:tcPr>
            <w:tcW w:w="8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EC5" w14:textId="77777777" w:rsidR="00572A1E" w:rsidRPr="000E598A" w:rsidRDefault="00572A1E" w:rsidP="00572A1E">
            <w:pPr>
              <w:rPr>
                <w:rFonts w:ascii="Arial" w:hAnsi="Arial" w:cs="Arial"/>
                <w:b/>
                <w:sz w:val="22"/>
              </w:rPr>
            </w:pPr>
            <w:r w:rsidRPr="000E598A">
              <w:rPr>
                <w:rFonts w:ascii="Arial" w:hAnsi="Arial" w:cs="Arial"/>
                <w:b/>
                <w:sz w:val="22"/>
              </w:rPr>
              <w:t>Members with voting rights</w:t>
            </w:r>
          </w:p>
          <w:p w14:paraId="6E9884A7" w14:textId="77777777" w:rsidR="00572A1E" w:rsidRPr="000E598A" w:rsidRDefault="00572A1E" w:rsidP="00572A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Committee shall comprise all</w:t>
            </w:r>
            <w:r w:rsidRPr="000E598A">
              <w:rPr>
                <w:rFonts w:ascii="Arial" w:hAnsi="Arial" w:cs="Arial"/>
                <w:sz w:val="22"/>
              </w:rPr>
              <w:t xml:space="preserve"> non-executive directors </w:t>
            </w:r>
            <w:r>
              <w:rPr>
                <w:rFonts w:ascii="Arial" w:hAnsi="Arial" w:cs="Arial"/>
                <w:sz w:val="22"/>
              </w:rPr>
              <w:t xml:space="preserve">of the Trust </w:t>
            </w:r>
            <w:r w:rsidRPr="000E598A">
              <w:rPr>
                <w:rFonts w:ascii="Arial" w:hAnsi="Arial" w:cs="Arial"/>
                <w:sz w:val="22"/>
              </w:rPr>
              <w:t>who shall each have full voting rights.</w:t>
            </w:r>
          </w:p>
          <w:p w14:paraId="6C25F9BE" w14:textId="77777777" w:rsidR="00572A1E" w:rsidRPr="000E598A" w:rsidRDefault="00572A1E" w:rsidP="00572A1E">
            <w:pPr>
              <w:rPr>
                <w:rFonts w:ascii="Arial" w:hAnsi="Arial" w:cs="Arial"/>
                <w:sz w:val="22"/>
              </w:rPr>
            </w:pPr>
          </w:p>
          <w:p w14:paraId="07EAF0A1" w14:textId="77777777" w:rsidR="00572A1E" w:rsidRPr="000E598A" w:rsidRDefault="00572A1E" w:rsidP="00572A1E">
            <w:pPr>
              <w:rPr>
                <w:rFonts w:ascii="Arial" w:hAnsi="Arial" w:cs="Arial"/>
                <w:b/>
                <w:sz w:val="22"/>
              </w:rPr>
            </w:pPr>
            <w:r w:rsidRPr="000E598A">
              <w:rPr>
                <w:rFonts w:ascii="Arial" w:hAnsi="Arial" w:cs="Arial"/>
                <w:b/>
                <w:sz w:val="22"/>
              </w:rPr>
              <w:t>Ex-officio attendees without voting rights</w:t>
            </w:r>
          </w:p>
          <w:p w14:paraId="5B1DF4AD" w14:textId="77777777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0E598A">
              <w:rPr>
                <w:rFonts w:ascii="Arial" w:hAnsi="Arial" w:cs="Arial"/>
                <w:sz w:val="22"/>
              </w:rPr>
              <w:t>Chief Executive</w:t>
            </w:r>
          </w:p>
          <w:p w14:paraId="274086C9" w14:textId="19E0070D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Chief People Officer</w:t>
            </w:r>
            <w:r w:rsidRPr="000E598A">
              <w:rPr>
                <w:rFonts w:ascii="Arial" w:hAnsi="Arial" w:cs="Arial"/>
                <w:sz w:val="22"/>
              </w:rPr>
              <w:br/>
            </w:r>
          </w:p>
          <w:p w14:paraId="717FA31C" w14:textId="77777777" w:rsidR="00572A1E" w:rsidRPr="000E598A" w:rsidRDefault="00572A1E" w:rsidP="00572A1E">
            <w:pPr>
              <w:rPr>
                <w:rFonts w:ascii="Arial" w:hAnsi="Arial" w:cs="Arial"/>
                <w:b/>
                <w:sz w:val="22"/>
              </w:rPr>
            </w:pPr>
            <w:r w:rsidRPr="000E598A">
              <w:rPr>
                <w:rFonts w:ascii="Arial" w:hAnsi="Arial" w:cs="Arial"/>
                <w:b/>
                <w:sz w:val="22"/>
              </w:rPr>
              <w:t>In attendance without voting rights</w:t>
            </w:r>
          </w:p>
          <w:p w14:paraId="48A15E0F" w14:textId="77777777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secretary to the C</w:t>
            </w:r>
            <w:r w:rsidRPr="000E598A">
              <w:rPr>
                <w:rFonts w:ascii="Arial" w:hAnsi="Arial" w:cs="Arial"/>
                <w:sz w:val="22"/>
              </w:rPr>
              <w:t>ommittee (for the purposes described above)</w:t>
            </w:r>
          </w:p>
          <w:p w14:paraId="71A24D13" w14:textId="77777777" w:rsidR="00572A1E" w:rsidRPr="000E598A" w:rsidRDefault="00572A1E" w:rsidP="00572A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Any other member of the Board of Directors, senior member of T</w:t>
            </w:r>
            <w:r w:rsidRPr="000E598A">
              <w:rPr>
                <w:rFonts w:ascii="Arial" w:hAnsi="Arial" w:cs="Arial"/>
                <w:sz w:val="22"/>
              </w:rPr>
              <w:t>rust staff or external advisor considered a</w:t>
            </w:r>
            <w:r>
              <w:rPr>
                <w:rFonts w:ascii="Arial" w:hAnsi="Arial" w:cs="Arial"/>
                <w:sz w:val="22"/>
              </w:rPr>
              <w:t>ppropriate by the chair of the C</w:t>
            </w:r>
            <w:r w:rsidRPr="000E598A">
              <w:rPr>
                <w:rFonts w:ascii="Arial" w:hAnsi="Arial" w:cs="Arial"/>
                <w:sz w:val="22"/>
              </w:rPr>
              <w:t xml:space="preserve">ommittee. </w:t>
            </w:r>
          </w:p>
          <w:p w14:paraId="7A73B3C1" w14:textId="77777777" w:rsidR="00572A1E" w:rsidRPr="005B7922" w:rsidRDefault="00572A1E" w:rsidP="00572A1E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572A1E" w:rsidRPr="00C51D38" w14:paraId="4BAB3FA9" w14:textId="77777777" w:rsidTr="00572A1E"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A7AD2C" w14:textId="77777777" w:rsidR="00572A1E" w:rsidRPr="00C51D38" w:rsidRDefault="00572A1E" w:rsidP="00572A1E">
            <w:pPr>
              <w:pStyle w:val="Heading2"/>
              <w:rPr>
                <w:color w:val="FFFFFF"/>
              </w:rPr>
            </w:pPr>
            <w:r w:rsidRPr="00C51D38">
              <w:rPr>
                <w:color w:val="FFFFFF"/>
              </w:rPr>
              <w:t xml:space="preserve">Quorum </w:t>
            </w:r>
          </w:p>
        </w:tc>
      </w:tr>
      <w:tr w:rsidR="00572A1E" w:rsidRPr="005B7922" w14:paraId="4778DB82" w14:textId="77777777" w:rsidTr="00572A1E">
        <w:tc>
          <w:tcPr>
            <w:tcW w:w="8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599" w14:textId="6E5CFE5B" w:rsidR="00572A1E" w:rsidRDefault="00572A1E" w:rsidP="00572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 any meeting of the C</w:t>
            </w:r>
            <w:r w:rsidRPr="000E598A">
              <w:rPr>
                <w:rFonts w:ascii="Arial" w:hAnsi="Arial" w:cs="Arial"/>
                <w:sz w:val="22"/>
              </w:rPr>
              <w:t>ommittee to proceed, t</w:t>
            </w:r>
            <w:r w:rsidR="00857465">
              <w:rPr>
                <w:rFonts w:ascii="Arial" w:hAnsi="Arial" w:cs="Arial"/>
                <w:sz w:val="22"/>
              </w:rPr>
              <w:t>hree</w:t>
            </w:r>
            <w:r>
              <w:rPr>
                <w:rFonts w:ascii="Arial" w:hAnsi="Arial" w:cs="Arial"/>
                <w:sz w:val="22"/>
              </w:rPr>
              <w:t xml:space="preserve"> non-executive members of the C</w:t>
            </w:r>
            <w:r w:rsidRPr="000E598A">
              <w:rPr>
                <w:rFonts w:ascii="Arial" w:hAnsi="Arial" w:cs="Arial"/>
                <w:sz w:val="22"/>
              </w:rPr>
              <w:t xml:space="preserve">ommittee must be present. </w:t>
            </w:r>
          </w:p>
          <w:p w14:paraId="5952A6F4" w14:textId="65DD95AE" w:rsidR="00572A1E" w:rsidRDefault="00572A1E" w:rsidP="00572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55B6464D" w14:textId="77777777" w:rsidR="00572A1E" w:rsidRPr="00FD2FCA" w:rsidRDefault="00572A1E" w:rsidP="00572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23A32">
              <w:rPr>
                <w:rFonts w:ascii="Arial" w:hAnsi="Arial" w:cs="Arial"/>
                <w:sz w:val="22"/>
              </w:rPr>
              <w:lastRenderedPageBreak/>
              <w:t>A duly convened meeting of the Committee at which a quorum is present shall be competent to exercise all or any of the authorities, powers and discretions vested in or exercisable by the Committee.</w:t>
            </w:r>
          </w:p>
          <w:p w14:paraId="00C41805" w14:textId="77777777" w:rsidR="00572A1E" w:rsidRDefault="00572A1E" w:rsidP="00572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790171D4" w14:textId="77777777" w:rsidR="00572A1E" w:rsidRPr="005B7922" w:rsidRDefault="00572A1E" w:rsidP="00572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</w:tr>
      <w:tr w:rsidR="00572A1E" w:rsidRPr="00C51D38" w14:paraId="00CB1D29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89F00F" w14:textId="77777777" w:rsidR="00572A1E" w:rsidRPr="00C51D38" w:rsidRDefault="00572A1E" w:rsidP="00572A1E">
            <w:pPr>
              <w:pStyle w:val="Heading2"/>
              <w:rPr>
                <w:color w:val="FFFFFF"/>
                <w:szCs w:val="22"/>
              </w:rPr>
            </w:pPr>
            <w:r>
              <w:rPr>
                <w:color w:val="FFFFFF"/>
                <w:szCs w:val="22"/>
              </w:rPr>
              <w:lastRenderedPageBreak/>
              <w:t>Attendance</w:t>
            </w:r>
          </w:p>
        </w:tc>
      </w:tr>
      <w:tr w:rsidR="00572A1E" w:rsidRPr="005B7922" w14:paraId="7843316C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9BC" w14:textId="77777777" w:rsidR="00572A1E" w:rsidRDefault="00572A1E" w:rsidP="00572A1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87274">
              <w:rPr>
                <w:rFonts w:ascii="Arial" w:hAnsi="Arial" w:cs="Arial"/>
                <w:sz w:val="22"/>
                <w:szCs w:val="22"/>
              </w:rPr>
              <w:t xml:space="preserve">Members and attendees are expected to attend all meetings or to send apologies </w:t>
            </w:r>
            <w:r>
              <w:rPr>
                <w:rFonts w:ascii="Arial" w:hAnsi="Arial" w:cs="Arial"/>
                <w:sz w:val="22"/>
                <w:szCs w:val="22"/>
              </w:rPr>
              <w:t>to the Chair and C</w:t>
            </w:r>
            <w:r w:rsidRPr="00587274">
              <w:rPr>
                <w:rFonts w:ascii="Arial" w:hAnsi="Arial" w:cs="Arial"/>
                <w:sz w:val="22"/>
                <w:szCs w:val="22"/>
              </w:rPr>
              <w:t xml:space="preserve">ommittee secretary at least </w:t>
            </w:r>
            <w:r>
              <w:rPr>
                <w:rFonts w:ascii="Arial" w:hAnsi="Arial" w:cs="Arial"/>
                <w:sz w:val="22"/>
                <w:szCs w:val="22"/>
              </w:rPr>
              <w:t>five</w:t>
            </w:r>
            <w:r w:rsidRPr="00587274">
              <w:rPr>
                <w:rFonts w:ascii="Arial" w:hAnsi="Arial" w:cs="Arial"/>
                <w:sz w:val="22"/>
                <w:szCs w:val="22"/>
              </w:rPr>
              <w:t xml:space="preserve"> clear day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87274">
              <w:rPr>
                <w:rFonts w:ascii="Arial" w:hAnsi="Arial" w:cs="Arial"/>
                <w:sz w:val="22"/>
                <w:szCs w:val="22"/>
              </w:rPr>
              <w:t xml:space="preserve">* prior to each meeting. </w:t>
            </w:r>
            <w:r w:rsidRPr="00587274">
              <w:rPr>
                <w:rFonts w:ascii="Arial" w:hAnsi="Arial" w:cs="Arial"/>
                <w:sz w:val="22"/>
                <w:szCs w:val="22"/>
              </w:rPr>
              <w:br/>
            </w:r>
          </w:p>
          <w:p w14:paraId="49E1CB2C" w14:textId="77777777" w:rsidR="00572A1E" w:rsidRDefault="00572A1E" w:rsidP="00572A1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C6967">
              <w:rPr>
                <w:rFonts w:ascii="Arial" w:hAnsi="Arial" w:cs="Arial"/>
                <w:sz w:val="22"/>
                <w:szCs w:val="22"/>
              </w:rPr>
              <w:t xml:space="preserve">Attendees, </w:t>
            </w:r>
            <w:r>
              <w:rPr>
                <w:rFonts w:ascii="Arial" w:hAnsi="Arial" w:cs="Arial"/>
                <w:sz w:val="22"/>
                <w:szCs w:val="22"/>
              </w:rPr>
              <w:t>including the secretary to the C</w:t>
            </w:r>
            <w:r w:rsidRPr="00BC6967">
              <w:rPr>
                <w:rFonts w:ascii="Arial" w:hAnsi="Arial" w:cs="Arial"/>
                <w:sz w:val="22"/>
                <w:szCs w:val="22"/>
              </w:rPr>
              <w:t>ommittee, will be asked to leave the meeting should their own conditions of employment be the subject of discussion.</w:t>
            </w:r>
          </w:p>
          <w:p w14:paraId="5F059A3F" w14:textId="77777777" w:rsidR="00572A1E" w:rsidRDefault="00572A1E" w:rsidP="00572A1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C12F5F" w14:textId="4011CED9" w:rsidR="00572A1E" w:rsidRPr="009A42DD" w:rsidRDefault="00572A1E" w:rsidP="00572A1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committee Chair may ask any person in attendance who is not a member of the committee to withdraw from a meeting to facilitate open and frank discussion of a particular matter. </w:t>
            </w:r>
          </w:p>
        </w:tc>
      </w:tr>
      <w:tr w:rsidR="00572A1E" w:rsidRPr="00C51D38" w14:paraId="5E61404C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CBED73" w14:textId="77777777" w:rsidR="00572A1E" w:rsidRPr="00C51D38" w:rsidRDefault="00572A1E" w:rsidP="00572A1E">
            <w:pPr>
              <w:pStyle w:val="Heading2"/>
              <w:rPr>
                <w:color w:val="FFFFFF"/>
                <w:szCs w:val="22"/>
              </w:rPr>
            </w:pPr>
            <w:r w:rsidRPr="00F67B2E">
              <w:rPr>
                <w:color w:val="FFFFFF"/>
                <w:szCs w:val="22"/>
              </w:rPr>
              <w:t>Papers</w:t>
            </w:r>
          </w:p>
        </w:tc>
      </w:tr>
      <w:tr w:rsidR="00572A1E" w:rsidRPr="005B7922" w14:paraId="36586B20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68C" w14:textId="77777777" w:rsidR="00572A1E" w:rsidRPr="009A42DD" w:rsidRDefault="00572A1E" w:rsidP="00572A1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74713">
              <w:rPr>
                <w:rFonts w:ascii="Arial" w:hAnsi="Arial" w:cs="Arial"/>
                <w:sz w:val="22"/>
                <w:szCs w:val="22"/>
              </w:rPr>
              <w:t xml:space="preserve">Meeting papers shall be distributed to members and attendees </w:t>
            </w:r>
            <w:r w:rsidRPr="00905D85">
              <w:rPr>
                <w:rFonts w:ascii="Arial" w:hAnsi="Arial" w:cs="Arial"/>
                <w:sz w:val="22"/>
                <w:szCs w:val="22"/>
              </w:rPr>
              <w:t>at least five clear days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74713">
              <w:rPr>
                <w:rFonts w:ascii="Arial" w:hAnsi="Arial" w:cs="Arial"/>
                <w:sz w:val="22"/>
                <w:szCs w:val="22"/>
              </w:rPr>
              <w:t xml:space="preserve"> prior to the meeting. </w:t>
            </w:r>
          </w:p>
        </w:tc>
      </w:tr>
      <w:tr w:rsidR="00572A1E" w:rsidRPr="00C51D38" w14:paraId="56737AC6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128489" w14:textId="77777777" w:rsidR="00572A1E" w:rsidRPr="00C51D38" w:rsidRDefault="00572A1E" w:rsidP="00572A1E">
            <w:pPr>
              <w:pStyle w:val="Heading2"/>
              <w:rPr>
                <w:color w:val="FFFFFF"/>
                <w:szCs w:val="22"/>
              </w:rPr>
            </w:pPr>
            <w:r w:rsidRPr="00F67B2E">
              <w:rPr>
                <w:color w:val="FFFFFF"/>
                <w:szCs w:val="22"/>
              </w:rPr>
              <w:t>Reporting</w:t>
            </w:r>
          </w:p>
        </w:tc>
      </w:tr>
      <w:tr w:rsidR="00572A1E" w:rsidRPr="005B7922" w14:paraId="5305961C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9FF" w14:textId="0331E0D2" w:rsidR="00572A1E" w:rsidRPr="00BC6967" w:rsidRDefault="00572A1E" w:rsidP="00572A1E">
            <w:pPr>
              <w:tabs>
                <w:tab w:val="num" w:pos="1418"/>
              </w:tabs>
              <w:spacing w:after="12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E6022B">
              <w:rPr>
                <w:rFonts w:ascii="Arial" w:hAnsi="Arial" w:cs="Arial"/>
                <w:sz w:val="22"/>
                <w:szCs w:val="22"/>
              </w:rPr>
              <w:t xml:space="preserve">The Secretary shall minute the proceedings and decisions of all meetings of the Committee, including recording the names of those present and in attendance.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022B">
              <w:rPr>
                <w:rFonts w:ascii="Arial" w:hAnsi="Arial" w:cs="Arial"/>
                <w:sz w:val="22"/>
                <w:szCs w:val="22"/>
              </w:rPr>
              <w:t>Draft minutes will be submitted for formal agreement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3A32">
              <w:rPr>
                <w:rFonts w:ascii="Arial" w:hAnsi="Arial" w:cs="Arial"/>
                <w:sz w:val="22"/>
                <w:szCs w:val="22"/>
              </w:rPr>
              <w:t xml:space="preserve">at the next </w:t>
            </w:r>
            <w:r>
              <w:rPr>
                <w:rFonts w:ascii="Arial" w:hAnsi="Arial" w:cs="Arial"/>
                <w:sz w:val="22"/>
                <w:szCs w:val="22"/>
              </w:rPr>
              <w:t xml:space="preserve">committee </w:t>
            </w:r>
            <w:r w:rsidRPr="00C23A32">
              <w:rPr>
                <w:rFonts w:ascii="Arial" w:hAnsi="Arial" w:cs="Arial"/>
                <w:sz w:val="22"/>
                <w:szCs w:val="22"/>
              </w:rPr>
              <w:t>meeting.</w:t>
            </w:r>
            <w:r w:rsidR="004915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Pr="00BC6967">
              <w:rPr>
                <w:rFonts w:ascii="Arial" w:hAnsi="Arial" w:cs="Arial"/>
                <w:sz w:val="22"/>
                <w:szCs w:val="22"/>
              </w:rPr>
              <w:t xml:space="preserve">ommittee chair </w:t>
            </w:r>
            <w:r>
              <w:rPr>
                <w:rFonts w:ascii="Arial" w:hAnsi="Arial" w:cs="Arial"/>
                <w:sz w:val="22"/>
                <w:szCs w:val="22"/>
              </w:rPr>
              <w:t>shall prepare a report of each C</w:t>
            </w:r>
            <w:r w:rsidRPr="00BC6967">
              <w:rPr>
                <w:rFonts w:ascii="Arial" w:hAnsi="Arial" w:cs="Arial"/>
                <w:sz w:val="22"/>
                <w:szCs w:val="22"/>
              </w:rPr>
              <w:t>ommittee</w:t>
            </w:r>
            <w:r>
              <w:rPr>
                <w:rFonts w:ascii="Arial" w:hAnsi="Arial" w:cs="Arial"/>
                <w:sz w:val="22"/>
                <w:szCs w:val="22"/>
              </w:rPr>
              <w:t xml:space="preserve"> meeting for submission to the Board of D</w:t>
            </w:r>
            <w:r w:rsidRPr="00BC6967">
              <w:rPr>
                <w:rFonts w:ascii="Arial" w:hAnsi="Arial" w:cs="Arial"/>
                <w:sz w:val="22"/>
                <w:szCs w:val="22"/>
              </w:rPr>
              <w:t>irectors at its next formal business meeting.</w:t>
            </w:r>
          </w:p>
        </w:tc>
      </w:tr>
      <w:tr w:rsidR="00572A1E" w:rsidRPr="00C51D38" w14:paraId="31CE1F43" w14:textId="77777777" w:rsidTr="00572A1E"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5C8E5C" w14:textId="77777777" w:rsidR="00572A1E" w:rsidRPr="00C51D38" w:rsidRDefault="00572A1E" w:rsidP="00572A1E">
            <w:pPr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F67B2E">
              <w:rPr>
                <w:rFonts w:ascii="Arial" w:hAnsi="Arial" w:cs="Arial"/>
                <w:b/>
                <w:bCs/>
                <w:color w:val="FFFFFF"/>
                <w:sz w:val="22"/>
              </w:rPr>
              <w:t>Review</w:t>
            </w:r>
            <w:r w:rsidRPr="00C51D38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 </w:t>
            </w:r>
          </w:p>
        </w:tc>
      </w:tr>
      <w:tr w:rsidR="00572A1E" w14:paraId="5897165B" w14:textId="77777777" w:rsidTr="00572A1E">
        <w:tc>
          <w:tcPr>
            <w:tcW w:w="8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DE3" w14:textId="77777777" w:rsidR="00572A1E" w:rsidRDefault="00572A1E" w:rsidP="00572A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These terms of reference shall be reviewed annually or more frequently if necessary. The review process should include the company secretarial team for best practice advice and consistency.</w:t>
            </w:r>
          </w:p>
          <w:p w14:paraId="3F91716B" w14:textId="77777777" w:rsidR="00572A1E" w:rsidRDefault="00572A1E" w:rsidP="00572A1E">
            <w:pPr>
              <w:rPr>
                <w:rFonts w:ascii="Arial" w:hAnsi="Arial" w:cs="Arial"/>
                <w:sz w:val="22"/>
              </w:rPr>
            </w:pPr>
          </w:p>
          <w:p w14:paraId="49B8FB8C" w14:textId="0096E90A" w:rsidR="00572A1E" w:rsidRDefault="00572A1E" w:rsidP="00857465">
            <w:pPr>
              <w:spacing w:after="120"/>
              <w:rPr>
                <w:rFonts w:ascii="Arial" w:hAnsi="Arial" w:cs="Arial"/>
                <w:sz w:val="22"/>
              </w:rPr>
            </w:pPr>
            <w:r w:rsidRPr="00FA533B">
              <w:rPr>
                <w:rFonts w:ascii="Arial" w:hAnsi="Arial" w:cs="Arial"/>
                <w:sz w:val="22"/>
              </w:rPr>
              <w:t xml:space="preserve">The next scheduled review of these terms of reference will be undertaken by the Committee </w:t>
            </w:r>
            <w:r>
              <w:rPr>
                <w:rFonts w:ascii="Arial" w:hAnsi="Arial" w:cs="Arial"/>
                <w:sz w:val="22"/>
              </w:rPr>
              <w:t xml:space="preserve">before </w:t>
            </w:r>
            <w:r w:rsidRPr="00FA533B">
              <w:rPr>
                <w:rFonts w:ascii="Arial" w:hAnsi="Arial" w:cs="Arial"/>
                <w:sz w:val="22"/>
              </w:rPr>
              <w:t xml:space="preserve">approval </w:t>
            </w:r>
            <w:r>
              <w:rPr>
                <w:rFonts w:ascii="Arial" w:hAnsi="Arial" w:cs="Arial"/>
                <w:sz w:val="22"/>
              </w:rPr>
              <w:t>by</w:t>
            </w:r>
            <w:r w:rsidRPr="00FA533B">
              <w:rPr>
                <w:rFonts w:ascii="Arial" w:hAnsi="Arial" w:cs="Arial"/>
                <w:sz w:val="22"/>
              </w:rPr>
              <w:t xml:space="preserve"> the Board</w:t>
            </w:r>
            <w:r>
              <w:rPr>
                <w:rFonts w:ascii="Arial" w:hAnsi="Arial" w:cs="Arial"/>
                <w:sz w:val="22"/>
              </w:rPr>
              <w:t xml:space="preserve"> of Directors at its meeting</w:t>
            </w:r>
            <w:r w:rsidRPr="00FA533B">
              <w:rPr>
                <w:rFonts w:ascii="Arial" w:hAnsi="Arial" w:cs="Arial"/>
                <w:sz w:val="22"/>
              </w:rPr>
              <w:t xml:space="preserve"> in </w:t>
            </w:r>
            <w:r>
              <w:rPr>
                <w:rFonts w:ascii="Arial" w:hAnsi="Arial" w:cs="Arial"/>
                <w:sz w:val="22"/>
              </w:rPr>
              <w:t>Ma</w:t>
            </w:r>
            <w:r w:rsidR="00857465">
              <w:rPr>
                <w:rFonts w:ascii="Arial" w:hAnsi="Arial" w:cs="Arial"/>
                <w:sz w:val="22"/>
              </w:rPr>
              <w:t>y 2026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572A1E" w:rsidRPr="00C51D38" w14:paraId="662B9A31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417B7F" w14:textId="77777777" w:rsidR="00572A1E" w:rsidRPr="00174713" w:rsidRDefault="00572A1E" w:rsidP="00572A1E">
            <w:pPr>
              <w:rPr>
                <w:rFonts w:ascii="Arial" w:hAnsi="Arial" w:cs="Arial"/>
                <w:b/>
                <w:sz w:val="22"/>
              </w:rPr>
            </w:pPr>
            <w:r w:rsidRPr="00174713">
              <w:rPr>
                <w:rFonts w:ascii="Arial" w:hAnsi="Arial" w:cs="Arial"/>
                <w:b/>
                <w:color w:val="FFFFFF" w:themeColor="background1"/>
                <w:sz w:val="22"/>
              </w:rPr>
              <w:t>* Definitions</w:t>
            </w:r>
          </w:p>
        </w:tc>
      </w:tr>
      <w:tr w:rsidR="00572A1E" w:rsidRPr="005B7922" w14:paraId="406CD3B7" w14:textId="77777777" w:rsidTr="00572A1E"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896" w14:textId="77777777" w:rsidR="00572A1E" w:rsidRPr="00824050" w:rsidRDefault="00572A1E" w:rsidP="00572A1E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accordance with the T</w:t>
            </w:r>
            <w:r w:rsidRPr="00824050">
              <w:rPr>
                <w:rFonts w:ascii="Arial" w:hAnsi="Arial" w:cs="Arial"/>
                <w:sz w:val="22"/>
              </w:rPr>
              <w:t xml:space="preserve">rust’s constitution, ‘clear day’ </w:t>
            </w:r>
            <w:r>
              <w:rPr>
                <w:rFonts w:ascii="Arial" w:hAnsi="Arial" w:cs="Arial"/>
                <w:sz w:val="22"/>
              </w:rPr>
              <w:t>m</w:t>
            </w:r>
            <w:r w:rsidRPr="00824050">
              <w:rPr>
                <w:rFonts w:ascii="Arial" w:hAnsi="Arial" w:cs="Arial"/>
                <w:sz w:val="22"/>
              </w:rPr>
              <w:t>eans a day o</w:t>
            </w:r>
            <w:r>
              <w:rPr>
                <w:rFonts w:ascii="Arial" w:hAnsi="Arial" w:cs="Arial"/>
                <w:sz w:val="22"/>
              </w:rPr>
              <w:t>f the week not including a Satur</w:t>
            </w:r>
            <w:r w:rsidRPr="00824050">
              <w:rPr>
                <w:rFonts w:ascii="Arial" w:hAnsi="Arial" w:cs="Arial"/>
                <w:sz w:val="22"/>
              </w:rPr>
              <w:t>day, Sunday or public holiday.</w:t>
            </w:r>
          </w:p>
        </w:tc>
      </w:tr>
    </w:tbl>
    <w:p w14:paraId="2A02E96D" w14:textId="77777777" w:rsidR="00644B70" w:rsidRDefault="00644B70" w:rsidP="00174713"/>
    <w:sectPr w:rsidR="00644B70">
      <w:headerReference w:type="default" r:id="rId7"/>
      <w:footerReference w:type="default" r:id="rId8"/>
      <w:pgSz w:w="11906" w:h="16838"/>
      <w:pgMar w:top="864" w:right="1584" w:bottom="1267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C1587" w14:textId="77777777" w:rsidR="004A0F65" w:rsidRDefault="004A0F65">
      <w:r>
        <w:separator/>
      </w:r>
    </w:p>
  </w:endnote>
  <w:endnote w:type="continuationSeparator" w:id="0">
    <w:p w14:paraId="0A82BD57" w14:textId="77777777" w:rsidR="004A0F65" w:rsidRDefault="004A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6DEAA" w14:textId="77777777" w:rsidR="00174713" w:rsidRDefault="00174713" w:rsidP="00174713">
    <w:pPr>
      <w:rPr>
        <w:rFonts w:ascii="Arial" w:hAnsi="Arial" w:cs="Arial"/>
        <w:b/>
        <w:sz w:val="20"/>
        <w:szCs w:val="20"/>
      </w:rPr>
    </w:pPr>
  </w:p>
  <w:p w14:paraId="5148DA20" w14:textId="77777777" w:rsidR="002A5E4C" w:rsidRDefault="00174713" w:rsidP="00174713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</w:t>
    </w:r>
  </w:p>
  <w:p w14:paraId="72E4EA91" w14:textId="297EB7E9" w:rsidR="008E288E" w:rsidRPr="0021050E" w:rsidRDefault="008E288E" w:rsidP="001E246B">
    <w:pPr>
      <w:rPr>
        <w:rFonts w:ascii="Arial" w:hAnsi="Arial" w:cs="Arial"/>
        <w:b/>
        <w:sz w:val="16"/>
        <w:szCs w:val="20"/>
      </w:rPr>
    </w:pPr>
    <w:r w:rsidRPr="0021050E">
      <w:rPr>
        <w:rFonts w:ascii="Arial" w:hAnsi="Arial" w:cs="Arial"/>
        <w:b/>
        <w:sz w:val="16"/>
        <w:szCs w:val="20"/>
      </w:rPr>
      <w:t xml:space="preserve">Reviewed by N&amp;RC in </w:t>
    </w:r>
    <w:r w:rsidR="00857465">
      <w:rPr>
        <w:rFonts w:ascii="Arial" w:hAnsi="Arial" w:cs="Arial"/>
        <w:b/>
        <w:sz w:val="16"/>
        <w:szCs w:val="20"/>
      </w:rPr>
      <w:t>March 2025</w:t>
    </w:r>
  </w:p>
  <w:p w14:paraId="5307C0EC" w14:textId="259A296E" w:rsidR="001E246B" w:rsidRPr="0021050E" w:rsidRDefault="0054605B" w:rsidP="001E246B">
    <w:pPr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b/>
        <w:sz w:val="16"/>
        <w:szCs w:val="20"/>
      </w:rPr>
      <w:t xml:space="preserve">Approved </w:t>
    </w:r>
    <w:r w:rsidR="008173C8">
      <w:rPr>
        <w:rFonts w:ascii="Arial" w:hAnsi="Arial" w:cs="Arial"/>
        <w:b/>
        <w:sz w:val="16"/>
        <w:szCs w:val="20"/>
      </w:rPr>
      <w:t xml:space="preserve">by </w:t>
    </w:r>
    <w:r w:rsidR="00937CC8" w:rsidRPr="0021050E">
      <w:rPr>
        <w:rFonts w:ascii="Arial" w:hAnsi="Arial" w:cs="Arial"/>
        <w:b/>
        <w:sz w:val="16"/>
        <w:szCs w:val="20"/>
      </w:rPr>
      <w:t>the</w:t>
    </w:r>
    <w:r w:rsidR="001E246B" w:rsidRPr="0021050E">
      <w:rPr>
        <w:rFonts w:ascii="Arial" w:hAnsi="Arial" w:cs="Arial"/>
        <w:b/>
        <w:sz w:val="16"/>
        <w:szCs w:val="20"/>
      </w:rPr>
      <w:t xml:space="preserve"> Board of Directors at its meeting </w:t>
    </w:r>
    <w:r w:rsidR="00857465">
      <w:rPr>
        <w:rFonts w:ascii="Arial" w:hAnsi="Arial" w:cs="Arial"/>
        <w:b/>
        <w:sz w:val="16"/>
        <w:szCs w:val="20"/>
      </w:rPr>
      <w:t>in May 2025</w:t>
    </w:r>
  </w:p>
  <w:p w14:paraId="6B810E80" w14:textId="73268593" w:rsidR="00174713" w:rsidRPr="004D66C9" w:rsidRDefault="00174713" w:rsidP="00CE15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Page </w:t>
    </w:r>
    <w:r w:rsidRPr="00824050">
      <w:rPr>
        <w:rFonts w:ascii="Arial" w:hAnsi="Arial" w:cs="Arial"/>
        <w:b/>
        <w:sz w:val="20"/>
        <w:szCs w:val="20"/>
      </w:rPr>
      <w:fldChar w:fldCharType="begin"/>
    </w:r>
    <w:r w:rsidRPr="00824050">
      <w:rPr>
        <w:rFonts w:ascii="Arial" w:hAnsi="Arial" w:cs="Arial"/>
        <w:b/>
        <w:sz w:val="20"/>
        <w:szCs w:val="20"/>
      </w:rPr>
      <w:instrText xml:space="preserve"> PAGE   \* MERGEFORMAT </w:instrText>
    </w:r>
    <w:r w:rsidRPr="00824050">
      <w:rPr>
        <w:rFonts w:ascii="Arial" w:hAnsi="Arial" w:cs="Arial"/>
        <w:b/>
        <w:sz w:val="20"/>
        <w:szCs w:val="20"/>
      </w:rPr>
      <w:fldChar w:fldCharType="separate"/>
    </w:r>
    <w:r w:rsidR="00960D2C">
      <w:rPr>
        <w:rFonts w:ascii="Arial" w:hAnsi="Arial" w:cs="Arial"/>
        <w:b/>
        <w:noProof/>
        <w:sz w:val="20"/>
        <w:szCs w:val="20"/>
      </w:rPr>
      <w:t>5</w:t>
    </w:r>
    <w:r w:rsidRPr="00824050">
      <w:rPr>
        <w:rFonts w:ascii="Arial" w:hAnsi="Arial" w:cs="Arial"/>
        <w:b/>
        <w:noProof/>
        <w:sz w:val="20"/>
        <w:szCs w:val="20"/>
      </w:rPr>
      <w:fldChar w:fldCharType="end"/>
    </w:r>
    <w:r w:rsidR="00BC6967">
      <w:rPr>
        <w:rFonts w:ascii="Arial" w:hAnsi="Arial" w:cs="Arial"/>
        <w:b/>
        <w:noProof/>
        <w:sz w:val="20"/>
        <w:szCs w:val="20"/>
      </w:rPr>
      <w:t xml:space="preserve"> of 4</w:t>
    </w:r>
  </w:p>
  <w:p w14:paraId="51162C80" w14:textId="77777777" w:rsidR="00C52E08" w:rsidRPr="00174713" w:rsidRDefault="00C52E08" w:rsidP="0017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55CFF" w14:textId="77777777" w:rsidR="004A0F65" w:rsidRDefault="004A0F65">
      <w:r>
        <w:separator/>
      </w:r>
    </w:p>
  </w:footnote>
  <w:footnote w:type="continuationSeparator" w:id="0">
    <w:p w14:paraId="6CB191B4" w14:textId="77777777" w:rsidR="004A0F65" w:rsidRDefault="004A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5947" w14:textId="77777777" w:rsidR="006410DB" w:rsidRDefault="00905D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85C019F" wp14:editId="3CB71577">
          <wp:simplePos x="0" y="0"/>
          <wp:positionH relativeFrom="column">
            <wp:posOffset>4461510</wp:posOffset>
          </wp:positionH>
          <wp:positionV relativeFrom="paragraph">
            <wp:posOffset>-370840</wp:posOffset>
          </wp:positionV>
          <wp:extent cx="2038985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VH Trust RGB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7AC32" w14:textId="77777777" w:rsidR="006410DB" w:rsidRDefault="006410DB">
    <w:pPr>
      <w:pStyle w:val="Header"/>
    </w:pPr>
  </w:p>
  <w:p w14:paraId="4F35C4DE" w14:textId="77777777" w:rsidR="006410DB" w:rsidRDefault="006410DB">
    <w:pPr>
      <w:pStyle w:val="Header"/>
    </w:pPr>
  </w:p>
  <w:p w14:paraId="5CCE5628" w14:textId="77777777" w:rsidR="006410DB" w:rsidRDefault="00641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535"/>
    <w:multiLevelType w:val="multilevel"/>
    <w:tmpl w:val="7350635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544"/>
        </w:tabs>
        <w:ind w:left="3544" w:hanging="1418"/>
      </w:pPr>
    </w:lvl>
    <w:lvl w:ilvl="4">
      <w:start w:val="1"/>
      <w:numFmt w:val="decimal"/>
      <w:lvlText w:val="%4.%3.%2.%1.%5"/>
      <w:lvlJc w:val="left"/>
      <w:pPr>
        <w:tabs>
          <w:tab w:val="num" w:pos="4723"/>
        </w:tabs>
        <w:ind w:left="4723" w:hanging="1406"/>
      </w:pPr>
    </w:lvl>
    <w:lvl w:ilvl="5">
      <w:start w:val="1"/>
      <w:numFmt w:val="lowerLetter"/>
      <w:lvlText w:val="(%6)"/>
      <w:lvlJc w:val="left"/>
      <w:pPr>
        <w:tabs>
          <w:tab w:val="num" w:pos="5239"/>
        </w:tabs>
        <w:ind w:left="5239" w:hanging="516"/>
      </w:pPr>
    </w:lvl>
    <w:lvl w:ilvl="6">
      <w:start w:val="1"/>
      <w:numFmt w:val="lowerRoman"/>
      <w:lvlText w:val="(%7)"/>
      <w:lvlJc w:val="left"/>
      <w:pPr>
        <w:tabs>
          <w:tab w:val="num" w:pos="5857"/>
        </w:tabs>
        <w:ind w:left="5857" w:hanging="618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367"/>
        </w:tabs>
        <w:ind w:left="6367" w:hanging="51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6872"/>
        </w:tabs>
        <w:ind w:left="6872" w:hanging="505"/>
      </w:pPr>
      <w:rPr>
        <w:rFonts w:ascii="Symbol" w:hAnsi="Symbol" w:hint="default"/>
      </w:rPr>
    </w:lvl>
  </w:abstractNum>
  <w:abstractNum w:abstractNumId="1" w15:restartNumberingAfterBreak="0">
    <w:nsid w:val="43B819CB"/>
    <w:multiLevelType w:val="hybridMultilevel"/>
    <w:tmpl w:val="53CAD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A3D84"/>
    <w:multiLevelType w:val="hybridMultilevel"/>
    <w:tmpl w:val="87DC6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58117D"/>
    <w:multiLevelType w:val="hybridMultilevel"/>
    <w:tmpl w:val="281AD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D125B"/>
    <w:multiLevelType w:val="hybridMultilevel"/>
    <w:tmpl w:val="A0E2AEB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257CF0"/>
    <w:multiLevelType w:val="hybridMultilevel"/>
    <w:tmpl w:val="8CFC1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46087"/>
    <w:multiLevelType w:val="hybridMultilevel"/>
    <w:tmpl w:val="B128D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C6141"/>
    <w:multiLevelType w:val="hybridMultilevel"/>
    <w:tmpl w:val="6B7CE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E3192"/>
    <w:multiLevelType w:val="hybridMultilevel"/>
    <w:tmpl w:val="6FB4D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196"/>
    <w:multiLevelType w:val="hybridMultilevel"/>
    <w:tmpl w:val="C038B8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CC3033"/>
    <w:multiLevelType w:val="hybridMultilevel"/>
    <w:tmpl w:val="80805214"/>
    <w:lvl w:ilvl="0" w:tplc="5FCCA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27198"/>
    <w:multiLevelType w:val="hybridMultilevel"/>
    <w:tmpl w:val="5BA069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5B665B"/>
    <w:multiLevelType w:val="hybridMultilevel"/>
    <w:tmpl w:val="0318E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10E60"/>
    <w:multiLevelType w:val="hybridMultilevel"/>
    <w:tmpl w:val="59E4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A4BBF"/>
    <w:multiLevelType w:val="hybridMultilevel"/>
    <w:tmpl w:val="3DCAD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70"/>
    <w:rsid w:val="00021FAE"/>
    <w:rsid w:val="000822E9"/>
    <w:rsid w:val="0008403D"/>
    <w:rsid w:val="00085E9C"/>
    <w:rsid w:val="00092347"/>
    <w:rsid w:val="000E598A"/>
    <w:rsid w:val="001136A0"/>
    <w:rsid w:val="00130063"/>
    <w:rsid w:val="00174713"/>
    <w:rsid w:val="00197E2D"/>
    <w:rsid w:val="001D2A57"/>
    <w:rsid w:val="001D4A8B"/>
    <w:rsid w:val="001E1314"/>
    <w:rsid w:val="001E246B"/>
    <w:rsid w:val="00205C11"/>
    <w:rsid w:val="0021050E"/>
    <w:rsid w:val="00214AA7"/>
    <w:rsid w:val="00251120"/>
    <w:rsid w:val="00257BF8"/>
    <w:rsid w:val="00277ACB"/>
    <w:rsid w:val="0028264D"/>
    <w:rsid w:val="00285122"/>
    <w:rsid w:val="002A5E4C"/>
    <w:rsid w:val="002E363B"/>
    <w:rsid w:val="00326036"/>
    <w:rsid w:val="00340A66"/>
    <w:rsid w:val="00340DF8"/>
    <w:rsid w:val="00346F00"/>
    <w:rsid w:val="00356563"/>
    <w:rsid w:val="003B60D9"/>
    <w:rsid w:val="003F6B28"/>
    <w:rsid w:val="00446734"/>
    <w:rsid w:val="00453C82"/>
    <w:rsid w:val="00473544"/>
    <w:rsid w:val="00485A2F"/>
    <w:rsid w:val="00491518"/>
    <w:rsid w:val="0049313D"/>
    <w:rsid w:val="0049729F"/>
    <w:rsid w:val="004A0F65"/>
    <w:rsid w:val="004A5A7D"/>
    <w:rsid w:val="004A77FC"/>
    <w:rsid w:val="004D07E3"/>
    <w:rsid w:val="004D66C9"/>
    <w:rsid w:val="004E3789"/>
    <w:rsid w:val="004E721B"/>
    <w:rsid w:val="00517BAB"/>
    <w:rsid w:val="0054605B"/>
    <w:rsid w:val="005545D5"/>
    <w:rsid w:val="00572A1E"/>
    <w:rsid w:val="00587274"/>
    <w:rsid w:val="00596975"/>
    <w:rsid w:val="005A7534"/>
    <w:rsid w:val="005B47BE"/>
    <w:rsid w:val="005C47FA"/>
    <w:rsid w:val="005D2ED4"/>
    <w:rsid w:val="005E52A1"/>
    <w:rsid w:val="005F31B4"/>
    <w:rsid w:val="0060176E"/>
    <w:rsid w:val="00630AA4"/>
    <w:rsid w:val="00635FCA"/>
    <w:rsid w:val="006410DB"/>
    <w:rsid w:val="00644B70"/>
    <w:rsid w:val="006750F7"/>
    <w:rsid w:val="0069426D"/>
    <w:rsid w:val="006B3300"/>
    <w:rsid w:val="006E406C"/>
    <w:rsid w:val="00704609"/>
    <w:rsid w:val="00705445"/>
    <w:rsid w:val="00710283"/>
    <w:rsid w:val="00713521"/>
    <w:rsid w:val="007618C2"/>
    <w:rsid w:val="0076294E"/>
    <w:rsid w:val="007A1112"/>
    <w:rsid w:val="007A3111"/>
    <w:rsid w:val="007A3925"/>
    <w:rsid w:val="007B1AFF"/>
    <w:rsid w:val="007B21E1"/>
    <w:rsid w:val="007D1E3B"/>
    <w:rsid w:val="007D42A9"/>
    <w:rsid w:val="008173C8"/>
    <w:rsid w:val="00847EBD"/>
    <w:rsid w:val="00857465"/>
    <w:rsid w:val="008A5A4F"/>
    <w:rsid w:val="008A6455"/>
    <w:rsid w:val="008B080A"/>
    <w:rsid w:val="008E288E"/>
    <w:rsid w:val="00905D85"/>
    <w:rsid w:val="00917C96"/>
    <w:rsid w:val="00937CC8"/>
    <w:rsid w:val="009436B1"/>
    <w:rsid w:val="00960D2C"/>
    <w:rsid w:val="00966A76"/>
    <w:rsid w:val="00973442"/>
    <w:rsid w:val="0098070D"/>
    <w:rsid w:val="00981F64"/>
    <w:rsid w:val="009C376E"/>
    <w:rsid w:val="00A30538"/>
    <w:rsid w:val="00A320F3"/>
    <w:rsid w:val="00A359AD"/>
    <w:rsid w:val="00A54FCF"/>
    <w:rsid w:val="00A635F1"/>
    <w:rsid w:val="00A85ED4"/>
    <w:rsid w:val="00AA1AA4"/>
    <w:rsid w:val="00AA4EC0"/>
    <w:rsid w:val="00AB6C2C"/>
    <w:rsid w:val="00AD5371"/>
    <w:rsid w:val="00AE3A2D"/>
    <w:rsid w:val="00AF548E"/>
    <w:rsid w:val="00B27D5F"/>
    <w:rsid w:val="00B4250E"/>
    <w:rsid w:val="00B4698D"/>
    <w:rsid w:val="00B6682A"/>
    <w:rsid w:val="00B8128F"/>
    <w:rsid w:val="00BA2692"/>
    <w:rsid w:val="00BB5A5B"/>
    <w:rsid w:val="00BC6967"/>
    <w:rsid w:val="00BE0600"/>
    <w:rsid w:val="00BE29BD"/>
    <w:rsid w:val="00C06CB7"/>
    <w:rsid w:val="00C24B08"/>
    <w:rsid w:val="00C27990"/>
    <w:rsid w:val="00C51D38"/>
    <w:rsid w:val="00C52E08"/>
    <w:rsid w:val="00C72344"/>
    <w:rsid w:val="00C750E2"/>
    <w:rsid w:val="00CB2A90"/>
    <w:rsid w:val="00CD40C5"/>
    <w:rsid w:val="00CE15B2"/>
    <w:rsid w:val="00CE7FEB"/>
    <w:rsid w:val="00D21FD4"/>
    <w:rsid w:val="00D278D7"/>
    <w:rsid w:val="00D30037"/>
    <w:rsid w:val="00D33E1B"/>
    <w:rsid w:val="00D41ACD"/>
    <w:rsid w:val="00D815E0"/>
    <w:rsid w:val="00D84A03"/>
    <w:rsid w:val="00DB0C66"/>
    <w:rsid w:val="00DC30E7"/>
    <w:rsid w:val="00E315A7"/>
    <w:rsid w:val="00E34040"/>
    <w:rsid w:val="00E37A8F"/>
    <w:rsid w:val="00E40FBB"/>
    <w:rsid w:val="00E57EC6"/>
    <w:rsid w:val="00E73234"/>
    <w:rsid w:val="00E7446E"/>
    <w:rsid w:val="00E81B2B"/>
    <w:rsid w:val="00E81DE2"/>
    <w:rsid w:val="00E962D9"/>
    <w:rsid w:val="00EA6315"/>
    <w:rsid w:val="00ED23C1"/>
    <w:rsid w:val="00EF7F25"/>
    <w:rsid w:val="00F137E0"/>
    <w:rsid w:val="00F2514A"/>
    <w:rsid w:val="00F306E7"/>
    <w:rsid w:val="00F42963"/>
    <w:rsid w:val="00F47EBF"/>
    <w:rsid w:val="00F67B2E"/>
    <w:rsid w:val="00F70BF4"/>
    <w:rsid w:val="00F75419"/>
    <w:rsid w:val="00FA1A3C"/>
    <w:rsid w:val="00FC441F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5278BF0"/>
  <w15:docId w15:val="{E84CBD4F-1693-46AA-945E-CA3F877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44B7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44B70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4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3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4B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4B70"/>
    <w:pPr>
      <w:tabs>
        <w:tab w:val="center" w:pos="4153"/>
        <w:tab w:val="right" w:pos="8306"/>
      </w:tabs>
    </w:pPr>
  </w:style>
  <w:style w:type="character" w:customStyle="1" w:styleId="ya-q-full-text">
    <w:name w:val="ya-q-full-text"/>
    <w:rsid w:val="00197E2D"/>
  </w:style>
  <w:style w:type="character" w:customStyle="1" w:styleId="HeaderChar">
    <w:name w:val="Header Char"/>
    <w:basedOn w:val="DefaultParagraphFont"/>
    <w:link w:val="Header"/>
    <w:rsid w:val="00F429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42963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9734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973442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442"/>
    <w:rPr>
      <w:rFonts w:ascii="Arial" w:hAnsi="Arial"/>
      <w:lang w:eastAsia="en-US"/>
    </w:rPr>
  </w:style>
  <w:style w:type="character" w:styleId="FootnoteReference">
    <w:name w:val="footnote reference"/>
    <w:rsid w:val="00973442"/>
    <w:rPr>
      <w:vertAlign w:val="superscript"/>
    </w:rPr>
  </w:style>
  <w:style w:type="character" w:customStyle="1" w:styleId="Heading8Char">
    <w:name w:val="Heading 8 Char"/>
    <w:basedOn w:val="DefaultParagraphFont"/>
    <w:link w:val="Heading8"/>
    <w:semiHidden/>
    <w:rsid w:val="0097344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BalloonText">
    <w:name w:val="Balloon Text"/>
    <w:basedOn w:val="Normal"/>
    <w:link w:val="BalloonTextChar"/>
    <w:rsid w:val="0098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6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C30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C47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4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7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7FA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72A1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1765</Words>
  <Characters>9781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Grinstead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May Leonora</cp:lastModifiedBy>
  <cp:revision>23</cp:revision>
  <cp:lastPrinted>2016-01-11T10:48:00Z</cp:lastPrinted>
  <dcterms:created xsi:type="dcterms:W3CDTF">2022-02-23T17:20:00Z</dcterms:created>
  <dcterms:modified xsi:type="dcterms:W3CDTF">2025-07-02T09:06:00Z</dcterms:modified>
</cp:coreProperties>
</file>